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jc w:val="center"/>
        <w:rPr>
          <w:rFonts w:hint="eastAsia" w:ascii="宋体" w:hAnsi="宋体" w:eastAsia="宋体" w:cs="Times New Roman"/>
          <w:b/>
          <w:bCs/>
          <w:color w:val="333333"/>
          <w:sz w:val="36"/>
          <w:szCs w:val="36"/>
          <w:shd w:val="clear" w:color="auto" w:fill="FFFFFF"/>
        </w:rPr>
      </w:pPr>
      <w:r>
        <w:rPr>
          <w:rFonts w:hint="eastAsia" w:ascii="宋体" w:hAnsi="宋体" w:eastAsia="宋体" w:cs="Times New Roman"/>
          <w:b/>
          <w:bCs/>
          <w:color w:val="333333"/>
          <w:sz w:val="36"/>
          <w:szCs w:val="36"/>
          <w:shd w:val="clear" w:color="auto" w:fill="FFFFFF"/>
        </w:rPr>
        <w:t>202</w:t>
      </w:r>
      <w:r>
        <w:rPr>
          <w:rFonts w:hint="eastAsia" w:ascii="宋体" w:hAnsi="宋体" w:eastAsia="宋体" w:cs="Times New Roman"/>
          <w:b/>
          <w:bCs/>
          <w:color w:val="333333"/>
          <w:sz w:val="36"/>
          <w:szCs w:val="36"/>
          <w:shd w:val="clear" w:color="auto" w:fill="FFFFFF"/>
          <w:lang w:val="en-US" w:eastAsia="zh-CN"/>
        </w:rPr>
        <w:t>3</w:t>
      </w:r>
      <w:r>
        <w:rPr>
          <w:rFonts w:hint="eastAsia" w:ascii="宋体" w:hAnsi="宋体" w:eastAsia="宋体" w:cs="Times New Roman"/>
          <w:b/>
          <w:bCs/>
          <w:color w:val="333333"/>
          <w:sz w:val="36"/>
          <w:szCs w:val="36"/>
          <w:shd w:val="clear" w:color="auto" w:fill="FFFFFF"/>
        </w:rPr>
        <w:t>年政府信息公开工作年度报告</w:t>
      </w:r>
    </w:p>
    <w:p>
      <w:pPr>
        <w:pStyle w:val="5"/>
        <w:widowControl/>
        <w:shd w:val="clear" w:color="auto" w:fill="FFFFFF"/>
        <w:spacing w:before="0" w:beforeAutospacing="0" w:after="0" w:afterAutospacing="0"/>
        <w:jc w:val="center"/>
        <w:rPr>
          <w:rFonts w:hint="eastAsia" w:ascii="宋体" w:hAnsi="宋体" w:eastAsia="宋体" w:cs="Times New Roman"/>
          <w:b/>
          <w:bCs/>
          <w:color w:val="333333"/>
          <w:sz w:val="36"/>
          <w:szCs w:val="36"/>
          <w:shd w:val="clear" w:color="auto" w:fill="FFFFFF"/>
        </w:rPr>
      </w:pPr>
      <w:r>
        <w:rPr>
          <w:rFonts w:hint="eastAsia" w:ascii="宋体" w:hAnsi="宋体" w:eastAsia="宋体" w:cs="Times New Roman"/>
          <w:b/>
          <w:bCs/>
          <w:color w:val="333333"/>
          <w:sz w:val="36"/>
          <w:szCs w:val="36"/>
          <w:shd w:val="clear" w:color="auto" w:fill="FFFFFF"/>
        </w:rPr>
        <w:t>(上海市浦东新区唐镇人民政府)</w:t>
      </w:r>
    </w:p>
    <w:p>
      <w:pPr>
        <w:widowControl/>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shd w:val="clear" w:color="auto" w:fill="FFFFFF"/>
        </w:rPr>
        <w:t>本年度报告是根据《中华人民共和国政府信息公开条例》（以下简称《条例》）、《上海市政府信息公开规定》（以下简称《规定》和《国务院办公厅政府信息与政务公开办公室关于印发&lt;中华人民共和国政府信息公开工作年度报告格式&gt;的通知》（国办公开办函〔2021〕30号）</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相关要求</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Cs/>
          <w:color w:val="000000"/>
          <w:kern w:val="0"/>
          <w:sz w:val="32"/>
          <w:szCs w:val="32"/>
        </w:rPr>
        <w:t>由上海市浦东新区唐镇人民政府编制</w:t>
      </w:r>
      <w:r>
        <w:rPr>
          <w:rFonts w:hint="eastAsia" w:ascii="仿宋_GB2312" w:hAnsi="仿宋_GB2312" w:eastAsia="仿宋_GB2312" w:cs="仿宋_GB2312"/>
          <w:bCs/>
          <w:color w:val="000000"/>
          <w:kern w:val="0"/>
          <w:sz w:val="32"/>
          <w:szCs w:val="32"/>
          <w:lang w:eastAsia="zh-CN"/>
        </w:rPr>
        <w:t>而成</w:t>
      </w:r>
      <w:r>
        <w:rPr>
          <w:rFonts w:hint="eastAsia" w:ascii="仿宋_GB2312" w:hAnsi="仿宋_GB2312" w:eastAsia="仿宋_GB2312" w:cs="仿宋_GB2312"/>
          <w:bCs/>
          <w:color w:val="000000"/>
          <w:kern w:val="0"/>
          <w:sz w:val="32"/>
          <w:szCs w:val="32"/>
        </w:rPr>
        <w:t>。本年度报告所列数据统计期限从202</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年1月1日到202</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年12月31日止。本年度报告的电子版可</w:t>
      </w:r>
      <w:r>
        <w:rPr>
          <w:rFonts w:hint="eastAsia" w:ascii="仿宋_GB2312" w:hAnsi="仿宋_GB2312" w:eastAsia="仿宋_GB2312" w:cs="仿宋_GB2312"/>
          <w:bCs/>
          <w:color w:val="000000"/>
          <w:kern w:val="0"/>
          <w:sz w:val="32"/>
          <w:szCs w:val="32"/>
          <w:lang w:eastAsia="zh-CN"/>
        </w:rPr>
        <w:t>以</w:t>
      </w:r>
      <w:r>
        <w:rPr>
          <w:rFonts w:hint="eastAsia" w:ascii="仿宋_GB2312" w:hAnsi="仿宋_GB2312" w:eastAsia="仿宋_GB2312" w:cs="仿宋_GB2312"/>
          <w:bCs/>
          <w:color w:val="000000"/>
          <w:kern w:val="0"/>
          <w:sz w:val="32"/>
          <w:szCs w:val="32"/>
        </w:rPr>
        <w:t>通过本镇政府网站下载（http://www.pudong.gov.cn/tz/）。如对本年度报告有任何疑问，请联系浦东新区唐镇人民政府司法所（地址：唐兴路495号，电话：58967191，邮编：201210）。</w:t>
      </w:r>
    </w:p>
    <w:p>
      <w:pPr>
        <w:pStyle w:val="5"/>
        <w:keepNext w:val="0"/>
        <w:keepLines w:val="0"/>
        <w:pageBreakBefore w:val="0"/>
        <w:widowControl/>
        <w:shd w:val="clear" w:color="auto" w:fill="FFFFFF"/>
        <w:kinsoku/>
        <w:wordWrap/>
        <w:overflowPunct/>
        <w:topLinePunct w:val="0"/>
        <w:autoSpaceDN/>
        <w:bidi w:val="0"/>
        <w:snapToGrid/>
        <w:spacing w:before="0" w:beforeAutospacing="0" w:after="0" w:afterAutospacing="0" w:line="580" w:lineRule="exact"/>
        <w:ind w:left="420" w:leftChars="200" w:firstLine="161" w:firstLineChars="50"/>
        <w:jc w:val="both"/>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一、总体情况</w:t>
      </w:r>
    </w:p>
    <w:p>
      <w:pPr>
        <w:keepNext w:val="0"/>
        <w:keepLines w:val="0"/>
        <w:pageBreakBefore w:val="0"/>
        <w:kinsoku/>
        <w:wordWrap/>
        <w:overflowPunct/>
        <w:topLinePunct w:val="0"/>
        <w:autoSpaceDE w:val="0"/>
        <w:autoSpaceDN/>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2023年，</w:t>
      </w:r>
      <w:r>
        <w:rPr>
          <w:rFonts w:hint="eastAsia" w:ascii="仿宋_GB2312" w:hAnsi="仿宋_GB2312" w:eastAsia="仿宋_GB2312" w:cs="仿宋_GB2312"/>
          <w:bCs/>
          <w:color w:val="000000"/>
          <w:kern w:val="0"/>
          <w:sz w:val="32"/>
          <w:szCs w:val="32"/>
        </w:rPr>
        <w:t>唐镇</w:t>
      </w:r>
      <w:r>
        <w:rPr>
          <w:rFonts w:hint="eastAsia" w:ascii="仿宋_GB2312" w:hAnsi="仿宋_GB2312" w:eastAsia="仿宋_GB2312" w:cs="仿宋_GB2312"/>
          <w:kern w:val="0"/>
          <w:sz w:val="32"/>
          <w:szCs w:val="32"/>
        </w:rPr>
        <w:t>认真</w:t>
      </w:r>
      <w:bookmarkStart w:id="0" w:name="_Hlk71989468"/>
      <w:r>
        <w:rPr>
          <w:rFonts w:hint="eastAsia" w:ascii="仿宋_GB2312" w:hAnsi="仿宋_GB2312" w:eastAsia="仿宋_GB2312" w:cs="仿宋_GB2312"/>
          <w:kern w:val="0"/>
          <w:sz w:val="32"/>
          <w:szCs w:val="32"/>
        </w:rPr>
        <w:t>落实区委、区府关于推进新时代政务公开工作的决策部署</w:t>
      </w:r>
      <w:bookmarkEnd w:id="0"/>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shd w:val="clear" w:color="auto" w:fill="FFFFFF"/>
          <w:lang w:eastAsia="zh-CN"/>
        </w:rPr>
        <w:t>持续</w:t>
      </w:r>
      <w:r>
        <w:rPr>
          <w:rFonts w:hint="eastAsia" w:ascii="仿宋_GB2312" w:hAnsi="仿宋_GB2312" w:eastAsia="仿宋_GB2312" w:cs="仿宋_GB2312"/>
          <w:color w:val="000000"/>
          <w:kern w:val="0"/>
          <w:sz w:val="32"/>
          <w:szCs w:val="32"/>
          <w:shd w:val="clear" w:color="auto" w:fill="FFFFFF"/>
          <w:lang w:val="en-US" w:eastAsia="zh-CN"/>
        </w:rPr>
        <w:t>提升政务公开标准化、规范化、信息化水平，发挥以公开促落实、助监督、强监管、防风险作用，</w:t>
      </w:r>
      <w:r>
        <w:rPr>
          <w:rFonts w:hint="eastAsia" w:ascii="仿宋_GB2312" w:hAnsi="仿宋_GB2312" w:eastAsia="仿宋_GB2312" w:cs="仿宋_GB2312"/>
          <w:bCs/>
          <w:color w:val="000000"/>
          <w:kern w:val="0"/>
          <w:sz w:val="32"/>
          <w:szCs w:val="32"/>
        </w:rPr>
        <w:t>紧紧围绕政务公开工作要点，不断完善政务公开工作机制，夯实政务公开工作基础</w:t>
      </w:r>
      <w:r>
        <w:rPr>
          <w:rFonts w:hint="eastAsia" w:ascii="仿宋_GB2312" w:hAnsi="仿宋_GB2312" w:eastAsia="仿宋_GB2312" w:cs="仿宋_GB2312"/>
          <w:color w:val="000000"/>
          <w:kern w:val="0"/>
          <w:sz w:val="32"/>
          <w:szCs w:val="32"/>
          <w:shd w:val="clear" w:color="auto" w:fill="FFFFFF"/>
        </w:rPr>
        <w:t>。</w:t>
      </w:r>
    </w:p>
    <w:p>
      <w:pPr>
        <w:widowControl/>
        <w:numPr>
          <w:ilvl w:val="0"/>
          <w:numId w:val="1"/>
        </w:numPr>
        <w:spacing w:line="560" w:lineRule="exact"/>
        <w:ind w:firstLine="643" w:firstLineChars="200"/>
        <w:rPr>
          <w:rFonts w:hint="eastAsia" w:ascii="楷体" w:hAnsi="楷体" w:eastAsia="楷体" w:cs="微软雅黑"/>
          <w:b/>
          <w:bCs/>
          <w:color w:val="000000"/>
          <w:kern w:val="0"/>
          <w:sz w:val="32"/>
          <w:szCs w:val="32"/>
        </w:rPr>
      </w:pPr>
      <w:r>
        <w:rPr>
          <w:rFonts w:hint="eastAsia" w:ascii="楷体" w:hAnsi="楷体" w:eastAsia="楷体" w:cs="微软雅黑"/>
          <w:b/>
          <w:bCs/>
          <w:color w:val="000000"/>
          <w:kern w:val="0"/>
          <w:sz w:val="32"/>
          <w:szCs w:val="32"/>
        </w:rPr>
        <w:t>主动公开</w:t>
      </w:r>
    </w:p>
    <w:p>
      <w:pPr>
        <w:widowControl/>
        <w:spacing w:line="560" w:lineRule="exact"/>
        <w:ind w:firstLine="640" w:firstLineChars="200"/>
        <w:rPr>
          <w:rFonts w:hint="eastAsia" w:ascii="仿宋_GB2312" w:hAnsi="微软雅黑" w:eastAsia="仿宋_GB2312" w:cs="微软雅黑"/>
          <w:bCs/>
          <w:color w:val="000000"/>
          <w:kern w:val="0"/>
          <w:sz w:val="32"/>
          <w:szCs w:val="32"/>
          <w:lang w:eastAsia="zh-CN"/>
        </w:rPr>
      </w:pPr>
      <w:r>
        <w:rPr>
          <w:rFonts w:hint="eastAsia" w:ascii="仿宋_GB2312" w:hAnsi="微软雅黑" w:eastAsia="仿宋_GB2312" w:cs="微软雅黑"/>
          <w:bCs/>
          <w:color w:val="000000"/>
          <w:kern w:val="0"/>
          <w:sz w:val="32"/>
          <w:szCs w:val="32"/>
          <w:lang w:eastAsia="zh-CN"/>
        </w:rPr>
        <w:t>唐镇人民政府</w:t>
      </w:r>
      <w:r>
        <w:rPr>
          <w:rFonts w:hint="eastAsia" w:ascii="仿宋_GB2312" w:hAnsi="微软雅黑" w:eastAsia="仿宋_GB2312" w:cs="微软雅黑"/>
          <w:bCs/>
          <w:color w:val="000000"/>
          <w:kern w:val="0"/>
          <w:sz w:val="32"/>
          <w:szCs w:val="32"/>
        </w:rPr>
        <w:t>严格</w:t>
      </w:r>
      <w:r>
        <w:rPr>
          <w:rFonts w:ascii="仿宋_GB2312" w:hAnsi="微软雅黑" w:eastAsia="仿宋_GB2312" w:cs="微软雅黑"/>
          <w:bCs/>
          <w:color w:val="000000"/>
          <w:kern w:val="0"/>
          <w:sz w:val="32"/>
          <w:szCs w:val="32"/>
        </w:rPr>
        <w:t>按照</w:t>
      </w:r>
      <w:r>
        <w:rPr>
          <w:rFonts w:hint="eastAsia" w:ascii="仿宋_GB2312" w:hAnsi="微软雅黑" w:eastAsia="仿宋_GB2312" w:cs="微软雅黑"/>
          <w:bCs/>
          <w:color w:val="000000"/>
          <w:kern w:val="0"/>
          <w:sz w:val="32"/>
          <w:szCs w:val="32"/>
        </w:rPr>
        <w:t>《条例》和《规定》的要求，坚持以“公开为常态，不公开为例外”，积极做好政府信息主动公开工作。</w:t>
      </w:r>
      <w:r>
        <w:rPr>
          <w:rFonts w:hint="eastAsia" w:ascii="仿宋_GB2312" w:hAnsi="微软雅黑" w:eastAsia="仿宋_GB2312" w:cs="微软雅黑"/>
          <w:bCs/>
          <w:color w:val="000000"/>
          <w:kern w:val="0"/>
          <w:sz w:val="32"/>
          <w:szCs w:val="32"/>
          <w:highlight w:val="none"/>
        </w:rPr>
        <w:t>202</w:t>
      </w:r>
      <w:r>
        <w:rPr>
          <w:rFonts w:hint="eastAsia" w:ascii="仿宋_GB2312" w:hAnsi="微软雅黑" w:eastAsia="仿宋_GB2312" w:cs="微软雅黑"/>
          <w:bCs/>
          <w:color w:val="000000"/>
          <w:kern w:val="0"/>
          <w:sz w:val="32"/>
          <w:szCs w:val="32"/>
          <w:highlight w:val="none"/>
          <w:lang w:val="en-US" w:eastAsia="zh-CN"/>
        </w:rPr>
        <w:t>3</w:t>
      </w:r>
      <w:r>
        <w:rPr>
          <w:rFonts w:hint="eastAsia" w:ascii="仿宋_GB2312" w:hAnsi="微软雅黑" w:eastAsia="仿宋_GB2312" w:cs="微软雅黑"/>
          <w:bCs/>
          <w:color w:val="000000"/>
          <w:kern w:val="0"/>
          <w:sz w:val="32"/>
          <w:szCs w:val="32"/>
          <w:highlight w:val="none"/>
        </w:rPr>
        <w:t>年共制发政府公文</w:t>
      </w:r>
      <w:r>
        <w:rPr>
          <w:rFonts w:hint="eastAsia" w:ascii="仿宋_GB2312" w:hAnsi="微软雅黑" w:eastAsia="仿宋_GB2312" w:cs="微软雅黑"/>
          <w:bCs/>
          <w:color w:val="000000"/>
          <w:kern w:val="0"/>
          <w:sz w:val="32"/>
          <w:szCs w:val="32"/>
          <w:highlight w:val="none"/>
          <w:lang w:val="en-US" w:eastAsia="zh-CN"/>
        </w:rPr>
        <w:t>55</w:t>
      </w:r>
      <w:r>
        <w:rPr>
          <w:rFonts w:hint="eastAsia" w:ascii="仿宋_GB2312" w:hAnsi="微软雅黑" w:eastAsia="仿宋_GB2312" w:cs="微软雅黑"/>
          <w:bCs/>
          <w:color w:val="000000"/>
          <w:kern w:val="0"/>
          <w:sz w:val="32"/>
          <w:szCs w:val="32"/>
          <w:highlight w:val="none"/>
        </w:rPr>
        <w:t>件，主动公开</w:t>
      </w:r>
      <w:r>
        <w:rPr>
          <w:rFonts w:hint="eastAsia" w:ascii="仿宋_GB2312" w:hAnsi="微软雅黑" w:eastAsia="仿宋_GB2312" w:cs="微软雅黑"/>
          <w:bCs/>
          <w:color w:val="000000"/>
          <w:kern w:val="0"/>
          <w:sz w:val="32"/>
          <w:szCs w:val="32"/>
          <w:highlight w:val="none"/>
          <w:lang w:val="en-US" w:eastAsia="zh-CN"/>
        </w:rPr>
        <w:t>52</w:t>
      </w:r>
      <w:r>
        <w:rPr>
          <w:rFonts w:hint="eastAsia" w:ascii="仿宋_GB2312" w:hAnsi="微软雅黑" w:eastAsia="仿宋_GB2312" w:cs="微软雅黑"/>
          <w:bCs/>
          <w:color w:val="000000"/>
          <w:kern w:val="0"/>
          <w:sz w:val="32"/>
          <w:szCs w:val="32"/>
          <w:highlight w:val="none"/>
        </w:rPr>
        <w:t>件，</w:t>
      </w:r>
      <w:r>
        <w:rPr>
          <w:rFonts w:hint="eastAsia" w:ascii="仿宋_GB2312" w:hAnsi="仿宋" w:eastAsia="仿宋_GB2312"/>
          <w:sz w:val="32"/>
          <w:szCs w:val="32"/>
          <w:highlight w:val="none"/>
        </w:rPr>
        <w:t>公文类信息主动公开率</w:t>
      </w:r>
      <w:r>
        <w:rPr>
          <w:rFonts w:hint="eastAsia" w:ascii="仿宋_GB2312" w:hAnsi="仿宋" w:eastAsia="仿宋_GB2312"/>
          <w:sz w:val="32"/>
          <w:szCs w:val="32"/>
          <w:highlight w:val="none"/>
          <w:lang w:val="en-US" w:eastAsia="zh-CN"/>
        </w:rPr>
        <w:t>94.55</w:t>
      </w:r>
      <w:r>
        <w:rPr>
          <w:rFonts w:hint="eastAsia" w:ascii="仿宋_GB2312" w:hAnsi="仿宋" w:eastAsia="仿宋_GB2312"/>
          <w:sz w:val="32"/>
          <w:szCs w:val="32"/>
          <w:highlight w:val="none"/>
        </w:rPr>
        <w:t>%。</w:t>
      </w:r>
      <w:r>
        <w:rPr>
          <w:rFonts w:hint="eastAsia" w:ascii="仿宋_GB2312" w:hAnsi="华文中宋" w:eastAsia="仿宋_GB2312"/>
          <w:sz w:val="32"/>
          <w:szCs w:val="32"/>
          <w:highlight w:val="none"/>
        </w:rPr>
        <w:t>加强历史公文转化公开，并通过政府网站政务公开专栏发布，</w:t>
      </w:r>
      <w:r>
        <w:rPr>
          <w:rFonts w:hint="eastAsia" w:ascii="仿宋_GB2312" w:hAnsi="微软雅黑" w:eastAsia="仿宋_GB2312" w:cs="微软雅黑"/>
          <w:bCs/>
          <w:color w:val="000000"/>
          <w:kern w:val="0"/>
          <w:sz w:val="32"/>
          <w:szCs w:val="32"/>
          <w:highlight w:val="none"/>
        </w:rPr>
        <w:t>今年共办理</w:t>
      </w:r>
      <w:r>
        <w:rPr>
          <w:rFonts w:hint="eastAsia" w:ascii="仿宋_GB2312" w:hAnsi="微软雅黑" w:eastAsia="仿宋_GB2312" w:cs="微软雅黑"/>
          <w:bCs/>
          <w:color w:val="000000"/>
          <w:kern w:val="0"/>
          <w:sz w:val="32"/>
          <w:szCs w:val="32"/>
          <w:highlight w:val="none"/>
          <w:lang w:val="en-US" w:eastAsia="zh-CN"/>
        </w:rPr>
        <w:t>1</w:t>
      </w:r>
      <w:r>
        <w:rPr>
          <w:rFonts w:hint="eastAsia" w:ascii="仿宋_GB2312" w:hAnsi="微软雅黑" w:eastAsia="仿宋_GB2312" w:cs="微软雅黑"/>
          <w:bCs/>
          <w:color w:val="000000"/>
          <w:kern w:val="0"/>
          <w:sz w:val="32"/>
          <w:szCs w:val="32"/>
          <w:highlight w:val="none"/>
        </w:rPr>
        <w:t>件公文依申请公开转主动公开。</w:t>
      </w:r>
      <w:r>
        <w:rPr>
          <w:rFonts w:hint="eastAsia" w:ascii="仿宋_GB2312" w:hAnsi="微软雅黑" w:eastAsia="仿宋_GB2312" w:cs="微软雅黑"/>
          <w:bCs/>
          <w:color w:val="000000"/>
          <w:kern w:val="0"/>
          <w:sz w:val="32"/>
          <w:szCs w:val="32"/>
        </w:rPr>
        <w:t>开展</w:t>
      </w:r>
      <w:r>
        <w:rPr>
          <w:rFonts w:hint="eastAsia" w:ascii="仿宋_GB2312" w:hAnsi="微软雅黑" w:eastAsia="仿宋_GB2312" w:cs="微软雅黑"/>
          <w:bCs/>
          <w:color w:val="000000"/>
          <w:kern w:val="0"/>
          <w:sz w:val="32"/>
          <w:szCs w:val="32"/>
          <w:lang w:eastAsia="zh-CN"/>
        </w:rPr>
        <w:t>主题为</w:t>
      </w:r>
      <w:r>
        <w:rPr>
          <w:rFonts w:hint="eastAsia" w:ascii="仿宋_GB2312" w:hAnsi="微软雅黑" w:eastAsia="仿宋_GB2312" w:cs="微软雅黑"/>
          <w:bCs/>
          <w:color w:val="000000"/>
          <w:kern w:val="0"/>
          <w:sz w:val="32"/>
          <w:szCs w:val="32"/>
        </w:rPr>
        <w:t>“</w:t>
      </w:r>
      <w:r>
        <w:rPr>
          <w:rFonts w:hint="eastAsia" w:ascii="仿宋_GB2312" w:hAnsi="仿宋" w:eastAsia="仿宋_GB2312"/>
          <w:sz w:val="32"/>
          <w:szCs w:val="32"/>
        </w:rPr>
        <w:t>走进社区事务受理中心，感受一网通办</w:t>
      </w:r>
      <w:r>
        <w:rPr>
          <w:rFonts w:hint="eastAsia"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lang w:eastAsia="zh-CN"/>
        </w:rPr>
        <w:t>的政府</w:t>
      </w:r>
      <w:r>
        <w:rPr>
          <w:rFonts w:hint="eastAsia" w:ascii="仿宋_GB2312" w:hAnsi="微软雅黑" w:eastAsia="仿宋_GB2312" w:cs="微软雅黑"/>
          <w:bCs/>
          <w:color w:val="000000"/>
          <w:kern w:val="0"/>
          <w:sz w:val="32"/>
          <w:szCs w:val="32"/>
        </w:rPr>
        <w:t>开放日活动</w:t>
      </w:r>
      <w:r>
        <w:rPr>
          <w:rFonts w:hint="eastAsia" w:ascii="仿宋_GB2312" w:hAnsi="微软雅黑" w:eastAsia="仿宋_GB2312" w:cs="微软雅黑"/>
          <w:bCs/>
          <w:color w:val="000000"/>
          <w:kern w:val="0"/>
          <w:sz w:val="32"/>
          <w:szCs w:val="32"/>
          <w:lang w:eastAsia="zh-CN"/>
        </w:rPr>
        <w:t>。</w:t>
      </w:r>
      <w:r>
        <w:rPr>
          <w:rFonts w:hint="eastAsia" w:ascii="仿宋_GB2312" w:hAnsi="仿宋" w:eastAsia="仿宋_GB2312"/>
          <w:sz w:val="32"/>
          <w:szCs w:val="32"/>
        </w:rPr>
        <w:t>制定《唐镇政务公开工作要点》和《任务分工表》。依法主动公开重点领域信息，积极开展多元化解读，与政策文件同步发布，积极回应社会关切</w:t>
      </w:r>
      <w:r>
        <w:rPr>
          <w:rFonts w:hint="eastAsia" w:ascii="仿宋_GB2312" w:hAnsi="仿宋" w:eastAsia="仿宋_GB2312"/>
          <w:sz w:val="32"/>
          <w:szCs w:val="32"/>
          <w:lang w:eastAsia="zh-CN"/>
        </w:rPr>
        <w:t>。</w:t>
      </w:r>
    </w:p>
    <w:p>
      <w:pPr>
        <w:widowControl/>
        <w:numPr>
          <w:ilvl w:val="0"/>
          <w:numId w:val="1"/>
        </w:numPr>
        <w:spacing w:line="560" w:lineRule="exact"/>
        <w:ind w:firstLine="643" w:firstLineChars="200"/>
        <w:rPr>
          <w:rFonts w:hint="eastAsia" w:ascii="楷体" w:hAnsi="楷体" w:eastAsia="楷体" w:cs="微软雅黑"/>
          <w:b/>
          <w:bCs/>
          <w:color w:val="000000"/>
          <w:kern w:val="0"/>
          <w:sz w:val="32"/>
          <w:szCs w:val="32"/>
        </w:rPr>
      </w:pPr>
      <w:r>
        <w:rPr>
          <w:rFonts w:hint="eastAsia" w:ascii="楷体" w:hAnsi="楷体" w:eastAsia="楷体" w:cs="微软雅黑"/>
          <w:b/>
          <w:bCs/>
          <w:color w:val="000000"/>
          <w:kern w:val="0"/>
          <w:sz w:val="32"/>
          <w:szCs w:val="32"/>
        </w:rPr>
        <w:t>依申请公开</w:t>
      </w:r>
    </w:p>
    <w:p>
      <w:pPr>
        <w:widowControl/>
        <w:spacing w:line="560" w:lineRule="exact"/>
        <w:ind w:firstLine="640" w:firstLineChars="200"/>
        <w:rPr>
          <w:rFonts w:hint="eastAsia" w:ascii="仿宋_GB2312" w:hAnsi="微软雅黑" w:eastAsia="仿宋_GB2312" w:cs="微软雅黑"/>
          <w:bCs/>
          <w:color w:val="000000"/>
          <w:kern w:val="0"/>
          <w:sz w:val="32"/>
          <w:szCs w:val="32"/>
          <w:lang w:eastAsia="zh-CN"/>
        </w:rPr>
      </w:pPr>
      <w:r>
        <w:rPr>
          <w:rFonts w:hint="eastAsia" w:ascii="仿宋_GB2312" w:hAnsi="微软雅黑" w:eastAsia="仿宋_GB2312" w:cs="微软雅黑"/>
          <w:bCs/>
          <w:color w:val="000000"/>
          <w:kern w:val="0"/>
          <w:sz w:val="32"/>
          <w:szCs w:val="32"/>
        </w:rPr>
        <w:t>按照《条例》和《规定》有关要求，依法依规做好</w:t>
      </w:r>
      <w:r>
        <w:rPr>
          <w:rFonts w:ascii="仿宋_GB2312" w:hAnsi="微软雅黑" w:eastAsia="仿宋_GB2312" w:cs="微软雅黑"/>
          <w:bCs/>
          <w:color w:val="000000"/>
          <w:kern w:val="0"/>
          <w:sz w:val="32"/>
          <w:szCs w:val="32"/>
        </w:rPr>
        <w:t>依申请答复</w:t>
      </w:r>
      <w:r>
        <w:rPr>
          <w:rFonts w:hint="eastAsia" w:ascii="仿宋_GB2312" w:hAnsi="微软雅黑" w:eastAsia="仿宋_GB2312" w:cs="微软雅黑"/>
          <w:bCs/>
          <w:color w:val="000000"/>
          <w:kern w:val="0"/>
          <w:sz w:val="32"/>
          <w:szCs w:val="32"/>
        </w:rPr>
        <w:t>。202</w:t>
      </w:r>
      <w:r>
        <w:rPr>
          <w:rFonts w:hint="eastAsia" w:ascii="仿宋_GB2312" w:hAnsi="微软雅黑" w:eastAsia="仿宋_GB2312" w:cs="微软雅黑"/>
          <w:bCs/>
          <w:color w:val="000000"/>
          <w:kern w:val="0"/>
          <w:sz w:val="32"/>
          <w:szCs w:val="32"/>
          <w:lang w:val="en-US" w:eastAsia="zh-CN"/>
        </w:rPr>
        <w:t>3</w:t>
      </w:r>
      <w:r>
        <w:rPr>
          <w:rFonts w:hint="eastAsia" w:ascii="仿宋_GB2312" w:hAnsi="微软雅黑" w:eastAsia="仿宋_GB2312" w:cs="微软雅黑"/>
          <w:bCs/>
          <w:color w:val="000000"/>
          <w:kern w:val="0"/>
          <w:sz w:val="32"/>
          <w:szCs w:val="32"/>
        </w:rPr>
        <w:t>年度新收政府信息公开申请</w:t>
      </w:r>
      <w:r>
        <w:rPr>
          <w:rFonts w:hint="eastAsia" w:ascii="仿宋_GB2312" w:hAnsi="微软雅黑" w:eastAsia="仿宋_GB2312" w:cs="微软雅黑"/>
          <w:bCs/>
          <w:color w:val="000000"/>
          <w:kern w:val="0"/>
          <w:sz w:val="32"/>
          <w:szCs w:val="32"/>
          <w:lang w:val="en-US" w:eastAsia="zh-CN"/>
        </w:rPr>
        <w:t>36</w:t>
      </w:r>
      <w:r>
        <w:rPr>
          <w:rFonts w:hint="eastAsia" w:ascii="仿宋_GB2312" w:hAnsi="微软雅黑" w:eastAsia="仿宋_GB2312" w:cs="微软雅黑"/>
          <w:bCs/>
          <w:color w:val="000000"/>
          <w:kern w:val="0"/>
          <w:sz w:val="32"/>
          <w:szCs w:val="32"/>
        </w:rPr>
        <w:t>件，</w:t>
      </w:r>
      <w:r>
        <w:rPr>
          <w:rFonts w:hint="eastAsia" w:ascii="仿宋_GB2312" w:eastAsia="仿宋_GB2312"/>
          <w:sz w:val="32"/>
          <w:szCs w:val="32"/>
          <w:lang w:eastAsia="zh-CN"/>
        </w:rPr>
        <w:t>其中区局交办件</w:t>
      </w:r>
      <w:r>
        <w:rPr>
          <w:rFonts w:hint="eastAsia" w:ascii="仿宋_GB2312" w:eastAsia="仿宋_GB2312"/>
          <w:sz w:val="32"/>
          <w:szCs w:val="32"/>
          <w:lang w:val="en-US" w:eastAsia="zh-CN"/>
        </w:rPr>
        <w:t>1件，</w:t>
      </w:r>
      <w:r>
        <w:rPr>
          <w:rFonts w:hint="eastAsia" w:ascii="仿宋_GB2312" w:hAnsi="微软雅黑" w:eastAsia="仿宋_GB2312" w:cs="微软雅黑"/>
          <w:bCs/>
          <w:color w:val="000000"/>
          <w:kern w:val="0"/>
          <w:sz w:val="32"/>
          <w:szCs w:val="32"/>
        </w:rPr>
        <w:t>上年结转政府信息公开申请</w:t>
      </w:r>
      <w:r>
        <w:rPr>
          <w:rFonts w:hint="eastAsia" w:ascii="仿宋_GB2312" w:hAnsi="微软雅黑" w:eastAsia="仿宋_GB2312" w:cs="微软雅黑"/>
          <w:bCs/>
          <w:color w:val="000000"/>
          <w:kern w:val="0"/>
          <w:sz w:val="32"/>
          <w:szCs w:val="32"/>
          <w:lang w:val="en-US" w:eastAsia="zh-CN"/>
        </w:rPr>
        <w:t>4</w:t>
      </w:r>
      <w:r>
        <w:rPr>
          <w:rFonts w:hint="eastAsia" w:ascii="仿宋_GB2312" w:hAnsi="微软雅黑" w:eastAsia="仿宋_GB2312" w:cs="微软雅黑"/>
          <w:bCs/>
          <w:color w:val="000000"/>
          <w:kern w:val="0"/>
          <w:sz w:val="32"/>
          <w:szCs w:val="32"/>
        </w:rPr>
        <w:t>件</w:t>
      </w:r>
      <w:r>
        <w:rPr>
          <w:rFonts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lang w:eastAsia="zh-CN"/>
        </w:rPr>
        <w:t>均在处理截止日期前办结</w:t>
      </w:r>
      <w:r>
        <w:rPr>
          <w:rFonts w:hint="eastAsia"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lang w:val="en-US" w:eastAsia="zh-CN"/>
        </w:rPr>
        <w:t>2</w:t>
      </w:r>
      <w:r>
        <w:rPr>
          <w:rFonts w:hint="eastAsia" w:ascii="仿宋_GB2312" w:hAnsi="微软雅黑" w:eastAsia="仿宋_GB2312" w:cs="微软雅黑"/>
          <w:bCs/>
          <w:color w:val="000000"/>
          <w:kern w:val="0"/>
          <w:sz w:val="32"/>
          <w:szCs w:val="32"/>
        </w:rPr>
        <w:t>件</w:t>
      </w:r>
      <w:r>
        <w:rPr>
          <w:rFonts w:ascii="仿宋_GB2312" w:hAnsi="微软雅黑" w:eastAsia="仿宋_GB2312" w:cs="微软雅黑"/>
          <w:bCs/>
          <w:color w:val="000000"/>
          <w:kern w:val="0"/>
          <w:sz w:val="32"/>
          <w:szCs w:val="32"/>
        </w:rPr>
        <w:t>结转至</w:t>
      </w:r>
      <w:r>
        <w:rPr>
          <w:rFonts w:hint="eastAsia" w:ascii="仿宋_GB2312" w:hAnsi="微软雅黑" w:eastAsia="仿宋_GB2312" w:cs="微软雅黑"/>
          <w:bCs/>
          <w:color w:val="000000"/>
          <w:kern w:val="0"/>
          <w:sz w:val="32"/>
          <w:szCs w:val="32"/>
        </w:rPr>
        <w:t>202</w:t>
      </w:r>
      <w:r>
        <w:rPr>
          <w:rFonts w:hint="eastAsia" w:ascii="仿宋_GB2312" w:hAnsi="微软雅黑" w:eastAsia="仿宋_GB2312" w:cs="微软雅黑"/>
          <w:bCs/>
          <w:color w:val="000000"/>
          <w:kern w:val="0"/>
          <w:sz w:val="32"/>
          <w:szCs w:val="32"/>
          <w:lang w:val="en-US" w:eastAsia="zh-CN"/>
        </w:rPr>
        <w:t>4</w:t>
      </w:r>
      <w:r>
        <w:rPr>
          <w:rFonts w:hint="eastAsia" w:ascii="仿宋_GB2312" w:hAnsi="微软雅黑" w:eastAsia="仿宋_GB2312" w:cs="微软雅黑"/>
          <w:bCs/>
          <w:color w:val="000000"/>
          <w:kern w:val="0"/>
          <w:sz w:val="32"/>
          <w:szCs w:val="32"/>
        </w:rPr>
        <w:t>年办</w:t>
      </w:r>
      <w:r>
        <w:rPr>
          <w:rFonts w:hint="eastAsia" w:ascii="仿宋_GB2312" w:hAnsi="微软雅黑" w:eastAsia="仿宋_GB2312" w:cs="微软雅黑"/>
          <w:bCs/>
          <w:color w:val="000000"/>
          <w:kern w:val="0"/>
          <w:sz w:val="32"/>
          <w:szCs w:val="32"/>
          <w:lang w:eastAsia="zh-CN"/>
        </w:rPr>
        <w:t>理</w:t>
      </w:r>
      <w:r>
        <w:rPr>
          <w:rFonts w:hint="eastAsia" w:ascii="仿宋_GB2312" w:hAnsi="微软雅黑" w:eastAsia="仿宋_GB2312" w:cs="微软雅黑"/>
          <w:bCs/>
          <w:color w:val="000000"/>
          <w:kern w:val="0"/>
          <w:sz w:val="32"/>
          <w:szCs w:val="32"/>
        </w:rPr>
        <w:t>。其中，予以公开</w:t>
      </w:r>
      <w:r>
        <w:rPr>
          <w:rFonts w:hint="eastAsia" w:ascii="仿宋_GB2312" w:hAnsi="微软雅黑" w:eastAsia="仿宋_GB2312" w:cs="微软雅黑"/>
          <w:bCs/>
          <w:color w:val="000000"/>
          <w:kern w:val="0"/>
          <w:sz w:val="32"/>
          <w:szCs w:val="32"/>
          <w:lang w:val="en-US" w:eastAsia="zh-CN"/>
        </w:rPr>
        <w:t>6</w:t>
      </w:r>
      <w:r>
        <w:rPr>
          <w:rFonts w:hint="eastAsia" w:ascii="仿宋_GB2312" w:hAnsi="微软雅黑" w:eastAsia="仿宋_GB2312" w:cs="微软雅黑"/>
          <w:bCs/>
          <w:color w:val="000000"/>
          <w:kern w:val="0"/>
          <w:sz w:val="32"/>
          <w:szCs w:val="32"/>
        </w:rPr>
        <w:t>件</w:t>
      </w:r>
      <w:r>
        <w:rPr>
          <w:rFonts w:hint="eastAsia" w:ascii="仿宋_GB2312" w:hAnsi="微软雅黑" w:eastAsia="仿宋_GB2312" w:cs="微软雅黑"/>
          <w:bCs/>
          <w:color w:val="000000"/>
          <w:kern w:val="0"/>
          <w:sz w:val="32"/>
          <w:szCs w:val="32"/>
          <w:lang w:eastAsia="zh-CN"/>
        </w:rPr>
        <w:t>（依申请公开</w:t>
      </w:r>
      <w:r>
        <w:rPr>
          <w:rFonts w:hint="eastAsia" w:ascii="仿宋_GB2312" w:hAnsi="微软雅黑" w:eastAsia="仿宋_GB2312" w:cs="微软雅黑"/>
          <w:bCs/>
          <w:color w:val="000000"/>
          <w:kern w:val="0"/>
          <w:sz w:val="32"/>
          <w:szCs w:val="32"/>
          <w:lang w:val="en-US" w:eastAsia="zh-CN"/>
        </w:rPr>
        <w:t>6件</w:t>
      </w:r>
      <w:r>
        <w:rPr>
          <w:rFonts w:hint="eastAsia" w:ascii="仿宋_GB2312" w:hAnsi="微软雅黑" w:eastAsia="仿宋_GB2312" w:cs="微软雅黑"/>
          <w:bCs/>
          <w:color w:val="000000"/>
          <w:kern w:val="0"/>
          <w:sz w:val="32"/>
          <w:szCs w:val="32"/>
          <w:lang w:eastAsia="zh-CN"/>
        </w:rPr>
        <w:t>）</w:t>
      </w:r>
      <w:r>
        <w:rPr>
          <w:rFonts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rPr>
        <w:t>不予公开</w:t>
      </w:r>
      <w:r>
        <w:rPr>
          <w:rFonts w:hint="eastAsia" w:ascii="仿宋_GB2312" w:hAnsi="微软雅黑" w:eastAsia="仿宋_GB2312" w:cs="微软雅黑"/>
          <w:bCs/>
          <w:color w:val="000000"/>
          <w:kern w:val="0"/>
          <w:sz w:val="32"/>
          <w:szCs w:val="32"/>
          <w:lang w:val="en-US" w:eastAsia="zh-CN"/>
        </w:rPr>
        <w:t>1</w:t>
      </w:r>
      <w:r>
        <w:rPr>
          <w:rFonts w:hint="eastAsia" w:ascii="仿宋_GB2312" w:hAnsi="微软雅黑" w:eastAsia="仿宋_GB2312" w:cs="微软雅黑"/>
          <w:bCs/>
          <w:color w:val="000000"/>
          <w:kern w:val="0"/>
          <w:sz w:val="32"/>
          <w:szCs w:val="32"/>
        </w:rPr>
        <w:t>件（</w:t>
      </w:r>
      <w:r>
        <w:rPr>
          <w:rFonts w:ascii="仿宋_GB2312" w:hAnsi="微软雅黑" w:eastAsia="仿宋_GB2312" w:cs="微软雅黑"/>
          <w:bCs/>
          <w:color w:val="000000"/>
          <w:kern w:val="0"/>
          <w:sz w:val="32"/>
          <w:szCs w:val="32"/>
        </w:rPr>
        <w:t>属于</w:t>
      </w:r>
      <w:r>
        <w:rPr>
          <w:rFonts w:hint="eastAsia" w:ascii="仿宋_GB2312" w:hAnsi="微软雅黑" w:eastAsia="仿宋_GB2312" w:cs="微软雅黑"/>
          <w:bCs/>
          <w:color w:val="000000"/>
          <w:kern w:val="0"/>
          <w:sz w:val="32"/>
          <w:szCs w:val="32"/>
          <w:lang w:eastAsia="zh-CN"/>
        </w:rPr>
        <w:t>行政执法案卷</w:t>
      </w:r>
      <w:r>
        <w:rPr>
          <w:rFonts w:hint="eastAsia" w:ascii="仿宋_GB2312" w:hAnsi="微软雅黑" w:eastAsia="仿宋_GB2312" w:cs="微软雅黑"/>
          <w:bCs/>
          <w:color w:val="000000"/>
          <w:kern w:val="0"/>
          <w:sz w:val="32"/>
          <w:szCs w:val="32"/>
        </w:rPr>
        <w:t>1件），无法提供</w:t>
      </w:r>
      <w:r>
        <w:rPr>
          <w:rFonts w:hint="eastAsia" w:ascii="仿宋_GB2312" w:hAnsi="微软雅黑" w:eastAsia="仿宋_GB2312" w:cs="微软雅黑"/>
          <w:bCs/>
          <w:color w:val="000000"/>
          <w:kern w:val="0"/>
          <w:sz w:val="32"/>
          <w:szCs w:val="32"/>
          <w:lang w:val="en-US" w:eastAsia="zh-CN"/>
        </w:rPr>
        <w:t>24</w:t>
      </w:r>
      <w:r>
        <w:rPr>
          <w:rFonts w:hint="eastAsia" w:ascii="仿宋_GB2312" w:hAnsi="微软雅黑" w:eastAsia="仿宋_GB2312" w:cs="微软雅黑"/>
          <w:bCs/>
          <w:color w:val="000000"/>
          <w:kern w:val="0"/>
          <w:sz w:val="32"/>
          <w:szCs w:val="32"/>
        </w:rPr>
        <w:t>件（</w:t>
      </w:r>
      <w:r>
        <w:rPr>
          <w:rFonts w:hint="eastAsia" w:ascii="仿宋_GB2312" w:hAnsi="微软雅黑" w:eastAsia="仿宋_GB2312" w:cs="微软雅黑"/>
          <w:bCs/>
          <w:color w:val="000000"/>
          <w:kern w:val="0"/>
          <w:sz w:val="32"/>
          <w:szCs w:val="32"/>
          <w:lang w:eastAsia="zh-CN"/>
        </w:rPr>
        <w:t>不属于本机关负责公开</w:t>
      </w:r>
      <w:r>
        <w:rPr>
          <w:rFonts w:hint="eastAsia" w:ascii="仿宋_GB2312" w:hAnsi="微软雅黑" w:eastAsia="仿宋_GB2312" w:cs="微软雅黑"/>
          <w:bCs/>
          <w:color w:val="000000"/>
          <w:kern w:val="0"/>
          <w:sz w:val="32"/>
          <w:szCs w:val="32"/>
          <w:lang w:val="en-US" w:eastAsia="zh-CN"/>
        </w:rPr>
        <w:t>3件</w:t>
      </w:r>
      <w:r>
        <w:rPr>
          <w:rFonts w:hint="eastAsia"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lang w:eastAsia="zh-CN"/>
        </w:rPr>
        <w:t>信息不存在</w:t>
      </w:r>
      <w:r>
        <w:rPr>
          <w:rFonts w:hint="eastAsia" w:ascii="仿宋_GB2312" w:hAnsi="微软雅黑" w:eastAsia="仿宋_GB2312" w:cs="微软雅黑"/>
          <w:bCs/>
          <w:color w:val="000000"/>
          <w:kern w:val="0"/>
          <w:sz w:val="32"/>
          <w:szCs w:val="32"/>
          <w:lang w:val="en-US" w:eastAsia="zh-CN"/>
        </w:rPr>
        <w:t>10件，</w:t>
      </w:r>
      <w:r>
        <w:rPr>
          <w:rFonts w:hint="eastAsia" w:ascii="仿宋_GB2312" w:hAnsi="微软雅黑" w:eastAsia="仿宋_GB2312" w:cs="微软雅黑"/>
          <w:bCs/>
          <w:color w:val="000000"/>
          <w:kern w:val="0"/>
          <w:sz w:val="32"/>
          <w:szCs w:val="32"/>
          <w:lang w:eastAsia="zh-CN"/>
        </w:rPr>
        <w:t>咨询</w:t>
      </w:r>
      <w:r>
        <w:rPr>
          <w:rFonts w:hint="eastAsia" w:ascii="仿宋_GB2312" w:hAnsi="微软雅黑" w:eastAsia="仿宋_GB2312" w:cs="微软雅黑"/>
          <w:bCs/>
          <w:color w:val="000000"/>
          <w:kern w:val="0"/>
          <w:sz w:val="32"/>
          <w:szCs w:val="32"/>
          <w:lang w:val="en-US" w:eastAsia="zh-CN"/>
        </w:rPr>
        <w:t>11</w:t>
      </w:r>
      <w:r>
        <w:rPr>
          <w:rFonts w:hint="eastAsia" w:ascii="仿宋_GB2312" w:hAnsi="微软雅黑" w:eastAsia="仿宋_GB2312" w:cs="微软雅黑"/>
          <w:bCs/>
          <w:color w:val="000000"/>
          <w:kern w:val="0"/>
          <w:sz w:val="32"/>
          <w:szCs w:val="32"/>
        </w:rPr>
        <w:t>件），不予处理</w:t>
      </w:r>
      <w:r>
        <w:rPr>
          <w:rFonts w:hint="eastAsia" w:ascii="仿宋_GB2312" w:hAnsi="微软雅黑" w:eastAsia="仿宋_GB2312" w:cs="微软雅黑"/>
          <w:bCs/>
          <w:color w:val="000000"/>
          <w:kern w:val="0"/>
          <w:sz w:val="32"/>
          <w:szCs w:val="32"/>
          <w:lang w:val="en-US" w:eastAsia="zh-CN"/>
        </w:rPr>
        <w:t>5</w:t>
      </w:r>
      <w:r>
        <w:rPr>
          <w:rFonts w:hint="eastAsia" w:ascii="仿宋_GB2312" w:hAnsi="微软雅黑" w:eastAsia="仿宋_GB2312" w:cs="微软雅黑"/>
          <w:bCs/>
          <w:color w:val="000000"/>
          <w:kern w:val="0"/>
          <w:sz w:val="32"/>
          <w:szCs w:val="32"/>
        </w:rPr>
        <w:t>件</w:t>
      </w:r>
      <w:r>
        <w:rPr>
          <w:rFonts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rPr>
        <w:t>重复申请</w:t>
      </w:r>
      <w:r>
        <w:rPr>
          <w:rFonts w:hint="eastAsia" w:ascii="仿宋_GB2312" w:hAnsi="微软雅黑" w:eastAsia="仿宋_GB2312" w:cs="微软雅黑"/>
          <w:bCs/>
          <w:color w:val="000000"/>
          <w:kern w:val="0"/>
          <w:sz w:val="32"/>
          <w:szCs w:val="32"/>
          <w:lang w:val="en-US" w:eastAsia="zh-CN"/>
        </w:rPr>
        <w:t>5</w:t>
      </w:r>
      <w:r>
        <w:rPr>
          <w:rFonts w:hint="eastAsia" w:ascii="仿宋_GB2312" w:hAnsi="微软雅黑" w:eastAsia="仿宋_GB2312" w:cs="微软雅黑"/>
          <w:bCs/>
          <w:color w:val="000000"/>
          <w:kern w:val="0"/>
          <w:sz w:val="32"/>
          <w:szCs w:val="32"/>
        </w:rPr>
        <w:t>件</w:t>
      </w:r>
      <w:r>
        <w:rPr>
          <w:rFonts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rPr>
        <w:t>，其他处理</w:t>
      </w:r>
      <w:r>
        <w:rPr>
          <w:rFonts w:hint="eastAsia" w:ascii="仿宋_GB2312" w:hAnsi="微软雅黑" w:eastAsia="仿宋_GB2312" w:cs="微软雅黑"/>
          <w:bCs/>
          <w:color w:val="000000"/>
          <w:kern w:val="0"/>
          <w:sz w:val="32"/>
          <w:szCs w:val="32"/>
          <w:lang w:val="en-US" w:eastAsia="zh-CN"/>
        </w:rPr>
        <w:t>2</w:t>
      </w:r>
      <w:r>
        <w:rPr>
          <w:rFonts w:hint="eastAsia" w:ascii="仿宋_GB2312" w:hAnsi="微软雅黑" w:eastAsia="仿宋_GB2312" w:cs="微软雅黑"/>
          <w:bCs/>
          <w:color w:val="000000"/>
          <w:kern w:val="0"/>
          <w:sz w:val="32"/>
          <w:szCs w:val="32"/>
        </w:rPr>
        <w:t>件（申请人无正当理由逾期不补正、行政机关不再处理其政府信息公开申请</w:t>
      </w:r>
      <w:r>
        <w:rPr>
          <w:rFonts w:hint="eastAsia" w:ascii="仿宋_GB2312" w:hAnsi="微软雅黑" w:eastAsia="仿宋_GB2312" w:cs="微软雅黑"/>
          <w:bCs/>
          <w:color w:val="000000"/>
          <w:kern w:val="0"/>
          <w:sz w:val="32"/>
          <w:szCs w:val="32"/>
          <w:lang w:val="en-US" w:eastAsia="zh-CN"/>
        </w:rPr>
        <w:t>1件，</w:t>
      </w:r>
      <w:r>
        <w:rPr>
          <w:rFonts w:hint="eastAsia" w:ascii="仿宋_GB2312" w:hAnsi="微软雅黑" w:eastAsia="仿宋_GB2312" w:cs="微软雅黑"/>
          <w:bCs/>
          <w:color w:val="000000"/>
          <w:kern w:val="0"/>
          <w:sz w:val="32"/>
          <w:szCs w:val="32"/>
          <w:lang w:eastAsia="zh-CN"/>
        </w:rPr>
        <w:t>直接归档</w:t>
      </w:r>
      <w:r>
        <w:rPr>
          <w:rFonts w:hint="eastAsia" w:ascii="仿宋_GB2312" w:hAnsi="微软雅黑" w:eastAsia="仿宋_GB2312" w:cs="微软雅黑"/>
          <w:bCs/>
          <w:color w:val="000000"/>
          <w:kern w:val="0"/>
          <w:sz w:val="32"/>
          <w:szCs w:val="32"/>
          <w:lang w:val="en-US" w:eastAsia="zh-CN"/>
        </w:rPr>
        <w:t>1件</w:t>
      </w:r>
      <w:r>
        <w:rPr>
          <w:rFonts w:hint="eastAsia" w:ascii="仿宋_GB2312" w:hAnsi="微软雅黑" w:eastAsia="仿宋_GB2312" w:cs="微软雅黑"/>
          <w:bCs/>
          <w:color w:val="000000"/>
          <w:kern w:val="0"/>
          <w:sz w:val="32"/>
          <w:szCs w:val="32"/>
        </w:rPr>
        <w:t>）。202</w:t>
      </w:r>
      <w:r>
        <w:rPr>
          <w:rFonts w:hint="eastAsia" w:ascii="仿宋_GB2312" w:hAnsi="微软雅黑" w:eastAsia="仿宋_GB2312" w:cs="微软雅黑"/>
          <w:bCs/>
          <w:color w:val="000000"/>
          <w:kern w:val="0"/>
          <w:sz w:val="32"/>
          <w:szCs w:val="32"/>
          <w:lang w:val="en-US" w:eastAsia="zh-CN"/>
        </w:rPr>
        <w:t>3</w:t>
      </w:r>
      <w:r>
        <w:rPr>
          <w:rFonts w:hint="eastAsia" w:ascii="仿宋_GB2312" w:hAnsi="微软雅黑" w:eastAsia="仿宋_GB2312" w:cs="微软雅黑"/>
          <w:bCs/>
          <w:color w:val="000000"/>
          <w:kern w:val="0"/>
          <w:sz w:val="32"/>
          <w:szCs w:val="32"/>
        </w:rPr>
        <w:t>年因申请政府信息公开产生的行政复议</w:t>
      </w:r>
      <w:r>
        <w:rPr>
          <w:rFonts w:hint="eastAsia" w:ascii="仿宋_GB2312" w:hAnsi="微软雅黑" w:eastAsia="仿宋_GB2312" w:cs="微软雅黑"/>
          <w:bCs/>
          <w:color w:val="000000"/>
          <w:kern w:val="0"/>
          <w:sz w:val="32"/>
          <w:szCs w:val="32"/>
          <w:lang w:val="en-US" w:eastAsia="zh-CN"/>
        </w:rPr>
        <w:t>6</w:t>
      </w:r>
      <w:r>
        <w:rPr>
          <w:rFonts w:hint="eastAsia" w:ascii="仿宋_GB2312" w:hAnsi="微软雅黑" w:eastAsia="仿宋_GB2312" w:cs="微软雅黑"/>
          <w:bCs/>
          <w:color w:val="000000"/>
          <w:kern w:val="0"/>
          <w:sz w:val="32"/>
          <w:szCs w:val="32"/>
        </w:rPr>
        <w:t>件，</w:t>
      </w:r>
      <w:r>
        <w:rPr>
          <w:rFonts w:hint="eastAsia" w:ascii="仿宋_GB2312" w:hAnsi="微软雅黑" w:eastAsia="仿宋_GB2312" w:cs="微软雅黑"/>
          <w:bCs/>
          <w:color w:val="000000"/>
          <w:kern w:val="0"/>
          <w:sz w:val="32"/>
          <w:szCs w:val="32"/>
          <w:lang w:eastAsia="zh-CN"/>
        </w:rPr>
        <w:t>均</w:t>
      </w:r>
      <w:r>
        <w:rPr>
          <w:rFonts w:hint="eastAsia" w:ascii="仿宋_GB2312" w:hAnsi="微软雅黑" w:eastAsia="仿宋_GB2312" w:cs="微软雅黑"/>
          <w:bCs/>
          <w:color w:val="000000"/>
          <w:kern w:val="0"/>
          <w:sz w:val="32"/>
          <w:szCs w:val="32"/>
        </w:rPr>
        <w:t>结果维持</w:t>
      </w:r>
      <w:r>
        <w:rPr>
          <w:rFonts w:hint="eastAsia" w:ascii="仿宋_GB2312" w:hAnsi="微软雅黑" w:eastAsia="仿宋_GB2312" w:cs="微软雅黑"/>
          <w:bCs/>
          <w:color w:val="000000"/>
          <w:kern w:val="0"/>
          <w:sz w:val="32"/>
          <w:szCs w:val="32"/>
          <w:lang w:eastAsia="zh-CN"/>
        </w:rPr>
        <w:t>。</w:t>
      </w:r>
    </w:p>
    <w:p>
      <w:pPr>
        <w:widowControl/>
        <w:spacing w:line="560" w:lineRule="exact"/>
        <w:ind w:firstLine="643" w:firstLineChars="200"/>
        <w:rPr>
          <w:rFonts w:hint="eastAsia" w:ascii="楷体" w:hAnsi="楷体" w:eastAsia="楷体" w:cs="微软雅黑"/>
          <w:b/>
          <w:bCs/>
          <w:color w:val="000000"/>
          <w:kern w:val="0"/>
          <w:sz w:val="32"/>
          <w:szCs w:val="32"/>
        </w:rPr>
      </w:pPr>
      <w:r>
        <w:rPr>
          <w:rFonts w:hint="eastAsia" w:ascii="楷体" w:hAnsi="楷体" w:eastAsia="楷体" w:cs="微软雅黑"/>
          <w:b/>
          <w:bCs/>
          <w:color w:val="000000"/>
          <w:kern w:val="0"/>
          <w:sz w:val="32"/>
          <w:szCs w:val="32"/>
        </w:rPr>
        <w:t>（三）政府信息管理方面</w:t>
      </w:r>
    </w:p>
    <w:p>
      <w:pPr>
        <w:ind w:firstLine="640" w:firstLineChars="200"/>
        <w:rPr>
          <w:rFonts w:hint="eastAsia" w:ascii="仿宋_GB2312" w:hAnsi="微软雅黑" w:eastAsia="仿宋_GB2312" w:cs="微软雅黑"/>
          <w:bCs/>
          <w:color w:val="000000"/>
          <w:kern w:val="0"/>
          <w:sz w:val="32"/>
          <w:szCs w:val="32"/>
        </w:rPr>
      </w:pPr>
      <w:r>
        <w:rPr>
          <w:rFonts w:hint="eastAsia" w:ascii="仿宋_GB2312" w:hAnsi="微软雅黑" w:eastAsia="仿宋_GB2312" w:cs="微软雅黑"/>
          <w:bCs/>
          <w:color w:val="000000"/>
          <w:kern w:val="0"/>
          <w:sz w:val="32"/>
          <w:szCs w:val="32"/>
        </w:rPr>
        <w:t>充分</w:t>
      </w:r>
      <w:r>
        <w:rPr>
          <w:rFonts w:ascii="仿宋_GB2312" w:hAnsi="微软雅黑" w:eastAsia="仿宋_GB2312" w:cs="微软雅黑"/>
          <w:bCs/>
          <w:color w:val="000000"/>
          <w:kern w:val="0"/>
          <w:sz w:val="32"/>
          <w:szCs w:val="32"/>
        </w:rPr>
        <w:t>发挥</w:t>
      </w:r>
      <w:r>
        <w:rPr>
          <w:rFonts w:hint="eastAsia" w:ascii="仿宋_GB2312" w:hAnsi="微软雅黑" w:eastAsia="仿宋_GB2312" w:cs="微软雅黑"/>
          <w:bCs/>
          <w:color w:val="000000"/>
          <w:kern w:val="0"/>
          <w:sz w:val="32"/>
          <w:szCs w:val="32"/>
        </w:rPr>
        <w:t>政务公开工作领导小组作用，统筹全镇政务公开工作。完善公文类信息目录的备案管理机制，切实保障公众知情权。严格执行公文公开属性源头认定和发布审查机制，</w:t>
      </w:r>
      <w:r>
        <w:rPr>
          <w:rFonts w:hint="eastAsia" w:ascii="仿宋_GB2312" w:hAnsi="仿宋" w:eastAsia="仿宋_GB2312"/>
          <w:sz w:val="32"/>
          <w:szCs w:val="32"/>
        </w:rPr>
        <w:t>不断</w:t>
      </w:r>
      <w:r>
        <w:rPr>
          <w:rFonts w:ascii="仿宋_GB2312" w:hAnsi="仿宋" w:eastAsia="仿宋_GB2312"/>
          <w:sz w:val="32"/>
          <w:szCs w:val="32"/>
        </w:rPr>
        <w:t>健全保密管理制度，</w:t>
      </w:r>
      <w:r>
        <w:rPr>
          <w:rFonts w:hint="eastAsia" w:ascii="仿宋_GB2312" w:hAnsi="仿宋" w:eastAsia="仿宋_GB2312"/>
          <w:sz w:val="32"/>
          <w:szCs w:val="32"/>
        </w:rPr>
        <w:t>进一步完善涉密文件管理</w:t>
      </w:r>
      <w:r>
        <w:rPr>
          <w:rFonts w:hint="eastAsia" w:ascii="仿宋_GB2312" w:hAnsi="仿宋" w:eastAsia="仿宋_GB2312"/>
          <w:sz w:val="32"/>
          <w:szCs w:val="32"/>
          <w:lang w:eastAsia="zh-CN"/>
        </w:rPr>
        <w:t>。</w:t>
      </w:r>
      <w:r>
        <w:rPr>
          <w:rFonts w:hint="eastAsia" w:ascii="仿宋_GB2312" w:hAnsi="华文中宋" w:eastAsia="仿宋_GB2312"/>
          <w:sz w:val="32"/>
          <w:szCs w:val="32"/>
        </w:rPr>
        <w:t>制定</w:t>
      </w:r>
      <w:r>
        <w:rPr>
          <w:rFonts w:hint="eastAsia" w:ascii="仿宋_GB2312" w:hAnsi="华文中宋" w:eastAsia="仿宋_GB2312"/>
          <w:sz w:val="32"/>
          <w:szCs w:val="32"/>
          <w:lang w:eastAsia="zh-CN"/>
        </w:rPr>
        <w:t>《</w:t>
      </w:r>
      <w:r>
        <w:rPr>
          <w:rFonts w:hint="eastAsia" w:ascii="仿宋_GB2312" w:hAnsi="华文中宋" w:eastAsia="仿宋_GB2312"/>
          <w:sz w:val="32"/>
          <w:szCs w:val="32"/>
          <w:lang w:val="en-US" w:eastAsia="zh-CN"/>
        </w:rPr>
        <w:t>政府</w:t>
      </w:r>
      <w:r>
        <w:rPr>
          <w:rFonts w:hint="eastAsia" w:ascii="仿宋_GB2312" w:hAnsi="华文中宋" w:eastAsia="仿宋_GB2312"/>
          <w:sz w:val="32"/>
          <w:szCs w:val="32"/>
        </w:rPr>
        <w:t>信息公开</w:t>
      </w:r>
      <w:r>
        <w:rPr>
          <w:rFonts w:hint="eastAsia" w:ascii="仿宋_GB2312" w:hAnsi="华文中宋" w:eastAsia="仿宋_GB2312"/>
          <w:sz w:val="32"/>
          <w:szCs w:val="32"/>
          <w:lang w:val="en-US" w:eastAsia="zh-CN"/>
        </w:rPr>
        <w:t>申请办理流程》和《</w:t>
      </w:r>
      <w:r>
        <w:rPr>
          <w:rFonts w:hint="eastAsia" w:ascii="仿宋_GB2312" w:hAnsi="华文中宋" w:eastAsia="仿宋_GB2312"/>
          <w:sz w:val="32"/>
          <w:szCs w:val="32"/>
        </w:rPr>
        <w:t>转办单</w:t>
      </w:r>
      <w:r>
        <w:rPr>
          <w:rFonts w:hint="eastAsia" w:ascii="仿宋_GB2312" w:hAnsi="华文中宋" w:eastAsia="仿宋_GB2312"/>
          <w:sz w:val="32"/>
          <w:szCs w:val="32"/>
          <w:lang w:val="en-US" w:eastAsia="zh-CN"/>
        </w:rPr>
        <w:t>》</w:t>
      </w:r>
      <w:r>
        <w:rPr>
          <w:rFonts w:hint="eastAsia" w:ascii="仿宋_GB2312" w:hAnsi="华文中宋" w:eastAsia="仿宋_GB2312"/>
          <w:sz w:val="32"/>
          <w:szCs w:val="32"/>
        </w:rPr>
        <w:t>，明确</w:t>
      </w:r>
      <w:r>
        <w:rPr>
          <w:rFonts w:ascii="仿宋_GB2312" w:hAnsi="华文中宋" w:eastAsia="仿宋_GB2312"/>
          <w:sz w:val="32"/>
          <w:szCs w:val="32"/>
        </w:rPr>
        <w:t>工作职责</w:t>
      </w:r>
      <w:r>
        <w:rPr>
          <w:rFonts w:ascii="仿宋_GB2312" w:hAnsi="仿宋" w:eastAsia="仿宋_GB2312"/>
          <w:sz w:val="32"/>
          <w:szCs w:val="32"/>
        </w:rPr>
        <w:t>。</w:t>
      </w:r>
      <w:r>
        <w:rPr>
          <w:rFonts w:hint="eastAsia" w:ascii="仿宋_GB2312" w:hAnsi="华文中宋" w:eastAsia="仿宋_GB2312"/>
          <w:sz w:val="32"/>
          <w:szCs w:val="32"/>
        </w:rPr>
        <w:t>注重办理过程中与申请人的沟通，了解掌握</w:t>
      </w:r>
      <w:r>
        <w:rPr>
          <w:rFonts w:ascii="仿宋_GB2312" w:hAnsi="华文中宋" w:eastAsia="仿宋_GB2312"/>
          <w:sz w:val="32"/>
          <w:szCs w:val="32"/>
        </w:rPr>
        <w:t>申请人真实诉求，</w:t>
      </w:r>
      <w:r>
        <w:rPr>
          <w:rFonts w:hint="eastAsia" w:ascii="仿宋_GB2312" w:hAnsi="华文中宋" w:eastAsia="仿宋_GB2312"/>
          <w:sz w:val="32"/>
          <w:szCs w:val="32"/>
        </w:rPr>
        <w:t>强化便民解答、指引和服务，</w:t>
      </w:r>
      <w:r>
        <w:rPr>
          <w:rFonts w:ascii="仿宋_GB2312" w:hAnsi="华文中宋" w:eastAsia="仿宋_GB2312"/>
          <w:sz w:val="32"/>
          <w:szCs w:val="32"/>
        </w:rPr>
        <w:t>降低</w:t>
      </w:r>
      <w:r>
        <w:rPr>
          <w:rFonts w:hint="eastAsia" w:ascii="仿宋_GB2312" w:hAnsi="华文中宋" w:eastAsia="仿宋_GB2312"/>
          <w:sz w:val="32"/>
          <w:szCs w:val="32"/>
        </w:rPr>
        <w:t>政府信息公开复议</w:t>
      </w:r>
      <w:r>
        <w:rPr>
          <w:rFonts w:ascii="仿宋_GB2312" w:hAnsi="华文中宋" w:eastAsia="仿宋_GB2312"/>
          <w:sz w:val="32"/>
          <w:szCs w:val="32"/>
        </w:rPr>
        <w:t>和诉讼</w:t>
      </w:r>
      <w:r>
        <w:rPr>
          <w:rFonts w:hint="eastAsia" w:ascii="仿宋_GB2312" w:hAnsi="华文中宋" w:eastAsia="仿宋_GB2312"/>
          <w:sz w:val="32"/>
          <w:szCs w:val="32"/>
        </w:rPr>
        <w:t>风险。依法依规做好依申请答复</w:t>
      </w:r>
      <w:r>
        <w:rPr>
          <w:rFonts w:ascii="仿宋_GB2312" w:hAnsi="华文中宋" w:eastAsia="仿宋_GB2312"/>
          <w:sz w:val="32"/>
          <w:szCs w:val="32"/>
        </w:rPr>
        <w:t>，</w:t>
      </w:r>
      <w:r>
        <w:rPr>
          <w:rFonts w:hint="eastAsia" w:ascii="仿宋_GB2312" w:hAnsi="华文中宋" w:eastAsia="仿宋_GB2312"/>
          <w:sz w:val="32"/>
          <w:szCs w:val="32"/>
          <w:lang w:val="en-US" w:eastAsia="zh-CN"/>
        </w:rPr>
        <w:t>做到</w:t>
      </w:r>
      <w:r>
        <w:rPr>
          <w:rFonts w:ascii="仿宋_GB2312" w:hAnsi="华文中宋" w:eastAsia="仿宋_GB2312"/>
          <w:sz w:val="32"/>
          <w:szCs w:val="32"/>
        </w:rPr>
        <w:t>合法有据、流程规范</w:t>
      </w:r>
      <w:r>
        <w:rPr>
          <w:rFonts w:hint="eastAsia" w:ascii="仿宋_GB2312" w:hAnsi="华文中宋" w:eastAsia="仿宋_GB2312"/>
          <w:sz w:val="32"/>
          <w:szCs w:val="32"/>
        </w:rPr>
        <w:t>、</w:t>
      </w:r>
      <w:r>
        <w:rPr>
          <w:rFonts w:ascii="仿宋_GB2312" w:hAnsi="华文中宋" w:eastAsia="仿宋_GB2312"/>
          <w:sz w:val="32"/>
          <w:szCs w:val="32"/>
        </w:rPr>
        <w:t>职责清晰</w:t>
      </w:r>
      <w:r>
        <w:rPr>
          <w:rFonts w:hint="eastAsia" w:ascii="仿宋_GB2312" w:hAnsi="华文中宋" w:eastAsia="仿宋_GB2312"/>
          <w:sz w:val="32"/>
          <w:szCs w:val="32"/>
        </w:rPr>
        <w:t>，</w:t>
      </w:r>
      <w:r>
        <w:rPr>
          <w:rFonts w:ascii="仿宋_GB2312" w:hAnsi="华文中宋" w:eastAsia="仿宋_GB2312"/>
          <w:sz w:val="32"/>
          <w:szCs w:val="32"/>
        </w:rPr>
        <w:t>切实提升依申请公开办理工作质量和水平</w:t>
      </w:r>
      <w:r>
        <w:rPr>
          <w:rFonts w:hint="eastAsia" w:ascii="仿宋_GB2312" w:hAnsi="华文中宋" w:eastAsia="仿宋_GB2312"/>
          <w:sz w:val="32"/>
          <w:szCs w:val="32"/>
        </w:rPr>
        <w:t>。</w:t>
      </w:r>
    </w:p>
    <w:p>
      <w:pPr>
        <w:widowControl/>
        <w:spacing w:line="560" w:lineRule="exact"/>
        <w:ind w:firstLine="643" w:firstLineChars="200"/>
        <w:rPr>
          <w:rFonts w:hint="eastAsia" w:ascii="楷体" w:hAnsi="楷体" w:eastAsia="楷体" w:cs="微软雅黑"/>
          <w:b/>
          <w:bCs/>
          <w:color w:val="000000"/>
          <w:kern w:val="0"/>
          <w:sz w:val="32"/>
          <w:szCs w:val="32"/>
        </w:rPr>
      </w:pPr>
      <w:r>
        <w:rPr>
          <w:rFonts w:hint="eastAsia" w:ascii="楷体" w:hAnsi="楷体" w:eastAsia="楷体" w:cs="微软雅黑"/>
          <w:b/>
          <w:bCs/>
          <w:color w:val="000000"/>
          <w:kern w:val="0"/>
          <w:sz w:val="32"/>
          <w:szCs w:val="32"/>
        </w:rPr>
        <w:t>（四）平台建设方面</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加强政府门户网站建设，</w:t>
      </w:r>
      <w:r>
        <w:rPr>
          <w:rFonts w:hint="eastAsia" w:ascii="仿宋_GB2312" w:hAnsi="仿宋_GB2312" w:eastAsia="仿宋_GB2312" w:cs="仿宋_GB2312"/>
          <w:sz w:val="32"/>
          <w:szCs w:val="32"/>
          <w:lang w:eastAsia="zh-CN"/>
        </w:rPr>
        <w:t>以持续开展</w:t>
      </w:r>
      <w:r>
        <w:rPr>
          <w:rFonts w:hint="eastAsia" w:ascii="仿宋_GB2312" w:hAnsi="仿宋_GB2312" w:eastAsia="仿宋_GB2312" w:cs="仿宋_GB2312"/>
          <w:sz w:val="32"/>
          <w:szCs w:val="32"/>
        </w:rPr>
        <w:t>政务公开平台日常巡查、维护</w:t>
      </w:r>
      <w:r>
        <w:rPr>
          <w:rFonts w:hint="eastAsia" w:ascii="仿宋_GB2312" w:hAnsi="仿宋_GB2312" w:eastAsia="仿宋_GB2312" w:cs="仿宋_GB2312"/>
          <w:sz w:val="32"/>
          <w:szCs w:val="32"/>
          <w:lang w:eastAsia="zh-CN"/>
        </w:rPr>
        <w:t>为抓手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加强门户网站</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更新的质量与效率，</w:t>
      </w:r>
      <w:r>
        <w:rPr>
          <w:rFonts w:hint="eastAsia" w:ascii="仿宋_GB2312" w:hAnsi="仿宋_GB2312" w:eastAsia="仿宋_GB2312" w:cs="仿宋_GB2312"/>
          <w:color w:val="000000"/>
          <w:kern w:val="0"/>
          <w:sz w:val="32"/>
          <w:szCs w:val="32"/>
          <w:shd w:val="clear" w:color="auto" w:fill="FFFFFF"/>
          <w:lang w:val="en-US" w:eastAsia="zh-CN" w:bidi="ar-SA"/>
        </w:rPr>
        <w:t>探索</w:t>
      </w:r>
      <w:r>
        <w:rPr>
          <w:rFonts w:hint="eastAsia" w:ascii="仿宋_GB2312" w:hAnsi="仿宋_GB2312" w:eastAsia="仿宋_GB2312" w:cs="仿宋_GB2312"/>
          <w:kern w:val="0"/>
          <w:sz w:val="32"/>
          <w:szCs w:val="32"/>
        </w:rPr>
        <w:t>政策解读新形式</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shd w:val="clear" w:color="auto" w:fill="FFFFFF"/>
          <w:lang w:val="en-US" w:eastAsia="zh-CN" w:bidi="ar-SA"/>
        </w:rPr>
        <w:t>通过线上平台“i唐镇”政务微信，</w:t>
      </w:r>
      <w:r>
        <w:rPr>
          <w:rFonts w:hint="eastAsia" w:ascii="仿宋_GB2312" w:hAnsi="仿宋_GB2312" w:eastAsia="仿宋_GB2312" w:cs="仿宋_GB2312"/>
          <w:sz w:val="32"/>
          <w:szCs w:val="32"/>
        </w:rPr>
        <w:t>拓展网上政民互动渠道，微信设置留言</w:t>
      </w:r>
      <w:r>
        <w:rPr>
          <w:rFonts w:hint="eastAsia" w:ascii="仿宋_GB2312" w:hAnsi="仿宋_GB2312" w:eastAsia="仿宋_GB2312" w:cs="仿宋_GB2312"/>
          <w:sz w:val="32"/>
          <w:szCs w:val="32"/>
          <w:lang w:eastAsia="zh-CN"/>
        </w:rPr>
        <w:t>、投票</w:t>
      </w:r>
      <w:r>
        <w:rPr>
          <w:rFonts w:hint="eastAsia" w:ascii="仿宋_GB2312" w:hAnsi="仿宋_GB2312" w:eastAsia="仿宋_GB2312" w:cs="仿宋_GB2312"/>
          <w:sz w:val="32"/>
          <w:szCs w:val="32"/>
        </w:rPr>
        <w:t>功能，</w:t>
      </w:r>
      <w:r>
        <w:rPr>
          <w:rFonts w:hint="eastAsia" w:ascii="仿宋_GB2312" w:hAnsi="仿宋_GB2312" w:eastAsia="仿宋_GB2312" w:cs="仿宋_GB2312"/>
          <w:bCs/>
          <w:color w:val="000000"/>
          <w:kern w:val="0"/>
          <w:sz w:val="32"/>
          <w:szCs w:val="32"/>
        </w:rPr>
        <w:t>线上线下多渠道</w:t>
      </w:r>
      <w:r>
        <w:rPr>
          <w:rFonts w:hint="eastAsia" w:ascii="仿宋_GB2312" w:hAnsi="仿宋_GB2312" w:eastAsia="仿宋_GB2312" w:cs="仿宋_GB2312"/>
          <w:sz w:val="32"/>
          <w:szCs w:val="32"/>
        </w:rPr>
        <w:t>收集意见建议</w:t>
      </w:r>
      <w:r>
        <w:rPr>
          <w:rFonts w:hint="eastAsia" w:ascii="仿宋_GB2312" w:hAnsi="仿宋_GB2312" w:eastAsia="仿宋_GB2312" w:cs="仿宋_GB2312"/>
          <w:sz w:val="32"/>
          <w:szCs w:val="32"/>
          <w:lang w:eastAsia="zh-CN"/>
        </w:rPr>
        <w:t>，及时倾听民意</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优化政务公开线下场所和平台建设，通过公共查阅点、公告栏、电子信息屏等方式，面向群众定点、定向公开。</w:t>
      </w:r>
    </w:p>
    <w:p>
      <w:pPr>
        <w:widowControl/>
        <w:spacing w:line="560" w:lineRule="exact"/>
        <w:ind w:firstLine="643" w:firstLineChars="200"/>
        <w:rPr>
          <w:rFonts w:hint="eastAsia" w:ascii="楷体" w:hAnsi="楷体" w:eastAsia="楷体" w:cs="微软雅黑"/>
          <w:b/>
          <w:bCs/>
          <w:color w:val="000000"/>
          <w:kern w:val="0"/>
          <w:sz w:val="32"/>
          <w:szCs w:val="32"/>
        </w:rPr>
      </w:pPr>
      <w:r>
        <w:rPr>
          <w:rFonts w:hint="eastAsia" w:ascii="楷体" w:hAnsi="楷体" w:eastAsia="楷体" w:cs="微软雅黑"/>
          <w:b/>
          <w:bCs/>
          <w:color w:val="000000"/>
          <w:kern w:val="0"/>
          <w:sz w:val="32"/>
          <w:szCs w:val="32"/>
        </w:rPr>
        <w:t>（五）监督保障方面</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kern w:val="2"/>
          <w:sz w:val="32"/>
          <w:szCs w:val="32"/>
          <w:lang w:val="en-US" w:eastAsia="zh-CN" w:bidi="ar-SA"/>
        </w:rPr>
        <w:t>一是强化组织保障，政务公开工作的分管领导和工作机构切实履行第一责任人和法定责任主体职责，落实专人专责。二是强化考核监督，镇党委会、镇党政联席会议每年度2次专题听取政务公开工作汇报，对政务公开的重点领域进行专题研究部署，</w:t>
      </w:r>
      <w:r>
        <w:rPr>
          <w:rFonts w:hint="eastAsia" w:ascii="仿宋_GB2312" w:hAnsi="仿宋_GB2312" w:eastAsia="仿宋_GB2312" w:cs="仿宋_GB2312"/>
          <w:color w:val="000000"/>
          <w:kern w:val="0"/>
          <w:sz w:val="32"/>
          <w:szCs w:val="32"/>
          <w:shd w:val="clear" w:color="auto" w:fill="FFFFFF"/>
          <w:lang w:val="en-US" w:eastAsia="zh-CN" w:bidi="ar-SA"/>
        </w:rPr>
        <w:t>通过与《2023年浦东新区政务公开考核评估指标表》对标对表，相关部门进一步精准落实</w:t>
      </w:r>
      <w:r>
        <w:rPr>
          <w:rFonts w:hint="eastAsia" w:ascii="仿宋_GB2312" w:hAnsi="仿宋_GB2312" w:eastAsia="仿宋_GB2312" w:cs="仿宋_GB2312"/>
          <w:kern w:val="2"/>
          <w:sz w:val="32"/>
          <w:szCs w:val="32"/>
          <w:lang w:val="en-US" w:eastAsia="zh-CN" w:bidi="ar-SA"/>
        </w:rPr>
        <w:t>。三是加强业务培训，聘请法律顾问参与政务公开工作，组织开展政务公开通识专题培训，提升政务公开各方面履职水平。</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0"/>
        <w:rPr>
          <w:rFonts w:hint="eastAsia" w:ascii="仿宋_GB2312" w:hAnsi="微软雅黑" w:eastAsia="仿宋_GB2312" w:cs="微软雅黑"/>
          <w:bCs/>
          <w:color w:val="000000"/>
          <w:kern w:val="0"/>
          <w:sz w:val="32"/>
          <w:szCs w:val="32"/>
        </w:rPr>
      </w:pPr>
      <w:r>
        <w:rPr>
          <w:rFonts w:hint="eastAsia" w:ascii="黑体" w:hAnsi="黑体" w:eastAsia="黑体" w:cs="微软雅黑"/>
          <w:color w:val="333333"/>
          <w:sz w:val="32"/>
          <w:szCs w:val="32"/>
          <w:shd w:val="clear" w:color="auto" w:fill="FFFFFF"/>
        </w:rPr>
        <w:t>二、主动公开政府信息情况</w:t>
      </w:r>
    </w:p>
    <w:tbl>
      <w:tblPr>
        <w:tblStyle w:val="6"/>
        <w:tblpPr w:leftFromText="180" w:rightFromText="180" w:vertAnchor="text" w:horzAnchor="page" w:tblpX="1429" w:tblpY="30"/>
        <w:tblOverlap w:val="never"/>
        <w:tblW w:w="9325" w:type="dxa"/>
        <w:tblInd w:w="0" w:type="dxa"/>
        <w:tblLayout w:type="fixed"/>
        <w:tblCellMar>
          <w:top w:w="0" w:type="dxa"/>
          <w:left w:w="0" w:type="dxa"/>
          <w:bottom w:w="0" w:type="dxa"/>
          <w:right w:w="0" w:type="dxa"/>
        </w:tblCellMar>
      </w:tblPr>
      <w:tblGrid>
        <w:gridCol w:w="3724"/>
        <w:gridCol w:w="2242"/>
        <w:gridCol w:w="1520"/>
        <w:gridCol w:w="1839"/>
      </w:tblGrid>
      <w:tr>
        <w:tblPrEx>
          <w:tblCellMar>
            <w:top w:w="0" w:type="dxa"/>
            <w:left w:w="0" w:type="dxa"/>
            <w:bottom w:w="0" w:type="dxa"/>
            <w:right w:w="0" w:type="dxa"/>
          </w:tblCellMar>
        </w:tblPrEx>
        <w:trPr>
          <w:trHeight w:val="516" w:hRule="atLeast"/>
        </w:trPr>
        <w:tc>
          <w:tcPr>
            <w:tcW w:w="93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第二十条第（一）项</w:t>
            </w:r>
          </w:p>
        </w:tc>
      </w:tr>
      <w:tr>
        <w:tblPrEx>
          <w:tblCellMar>
            <w:top w:w="0" w:type="dxa"/>
            <w:left w:w="0" w:type="dxa"/>
            <w:bottom w:w="0" w:type="dxa"/>
            <w:right w:w="0" w:type="dxa"/>
          </w:tblCellMar>
        </w:tblPrEx>
        <w:trPr>
          <w:trHeight w:val="815"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信息内容</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本年制发件数</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本年废止件数</w:t>
            </w: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现行有效件数</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规章</w:t>
            </w:r>
          </w:p>
        </w:tc>
        <w:tc>
          <w:tcPr>
            <w:tcW w:w="22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0</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0</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0</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规范性文件</w:t>
            </w:r>
          </w:p>
        </w:tc>
        <w:tc>
          <w:tcPr>
            <w:tcW w:w="22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0</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0</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0</w:t>
            </w:r>
          </w:p>
        </w:tc>
      </w:tr>
      <w:tr>
        <w:tblPrEx>
          <w:tblCellMar>
            <w:top w:w="0" w:type="dxa"/>
            <w:left w:w="0" w:type="dxa"/>
            <w:bottom w:w="0" w:type="dxa"/>
            <w:right w:w="0" w:type="dxa"/>
          </w:tblCellMar>
        </w:tblPrEx>
        <w:trPr>
          <w:trHeight w:val="516" w:hRule="atLeast"/>
        </w:trPr>
        <w:tc>
          <w:tcPr>
            <w:tcW w:w="93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第二十条第（五）项</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信息内容</w:t>
            </w:r>
          </w:p>
        </w:tc>
        <w:tc>
          <w:tcPr>
            <w:tcW w:w="560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本年处理决定数量</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行政许可</w:t>
            </w:r>
          </w:p>
        </w:tc>
        <w:tc>
          <w:tcPr>
            <w:tcW w:w="560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0</w:t>
            </w:r>
          </w:p>
        </w:tc>
      </w:tr>
      <w:tr>
        <w:tblPrEx>
          <w:tblCellMar>
            <w:top w:w="0" w:type="dxa"/>
            <w:left w:w="0" w:type="dxa"/>
            <w:bottom w:w="0" w:type="dxa"/>
            <w:right w:w="0" w:type="dxa"/>
          </w:tblCellMar>
        </w:tblPrEx>
        <w:trPr>
          <w:trHeight w:val="516" w:hRule="atLeast"/>
        </w:trPr>
        <w:tc>
          <w:tcPr>
            <w:tcW w:w="93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第二十条第（六）项</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信息内容</w:t>
            </w:r>
          </w:p>
        </w:tc>
        <w:tc>
          <w:tcPr>
            <w:tcW w:w="560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本年处理决定数量</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行政处罚</w:t>
            </w:r>
          </w:p>
        </w:tc>
        <w:tc>
          <w:tcPr>
            <w:tcW w:w="560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color w:val="000000"/>
                <w:sz w:val="18"/>
                <w:szCs w:val="18"/>
                <w:highlight w:val="none"/>
                <w:lang w:val="en-US" w:eastAsia="zh-CN"/>
              </w:rPr>
              <w:t>734</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行政强制</w:t>
            </w:r>
          </w:p>
        </w:tc>
        <w:tc>
          <w:tcPr>
            <w:tcW w:w="560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hint="eastAsia" w:ascii="微软雅黑" w:hAnsi="微软雅黑" w:eastAsia="微软雅黑" w:cs="微软雅黑"/>
                <w:sz w:val="18"/>
                <w:szCs w:val="18"/>
                <w:highlight w:val="none"/>
                <w:lang w:eastAsia="zh-CN"/>
              </w:rPr>
            </w:pPr>
            <w:r>
              <w:rPr>
                <w:rFonts w:hint="eastAsia" w:ascii="微软雅黑" w:hAnsi="微软雅黑" w:eastAsia="微软雅黑" w:cs="微软雅黑"/>
                <w:color w:val="000000"/>
                <w:sz w:val="18"/>
                <w:szCs w:val="18"/>
                <w:highlight w:val="none"/>
                <w:lang w:val="en-US" w:eastAsia="zh-CN"/>
              </w:rPr>
              <w:t>9</w:t>
            </w:r>
          </w:p>
        </w:tc>
      </w:tr>
      <w:tr>
        <w:tblPrEx>
          <w:tblCellMar>
            <w:top w:w="0" w:type="dxa"/>
            <w:left w:w="0" w:type="dxa"/>
            <w:bottom w:w="0" w:type="dxa"/>
            <w:right w:w="0" w:type="dxa"/>
          </w:tblCellMar>
        </w:tblPrEx>
        <w:trPr>
          <w:trHeight w:val="516" w:hRule="atLeast"/>
        </w:trPr>
        <w:tc>
          <w:tcPr>
            <w:tcW w:w="93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第二十条第（八）项</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信息内容</w:t>
            </w:r>
          </w:p>
        </w:tc>
        <w:tc>
          <w:tcPr>
            <w:tcW w:w="560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本年收费金额（单位：万元）</w:t>
            </w:r>
          </w:p>
        </w:tc>
      </w:tr>
      <w:tr>
        <w:tblPrEx>
          <w:tblCellMar>
            <w:top w:w="0" w:type="dxa"/>
            <w:left w:w="0" w:type="dxa"/>
            <w:bottom w:w="0" w:type="dxa"/>
            <w:right w:w="0" w:type="dxa"/>
          </w:tblCellMar>
        </w:tblPrEx>
        <w:trPr>
          <w:trHeight w:val="516" w:hRule="atLeast"/>
        </w:trPr>
        <w:tc>
          <w:tcPr>
            <w:tcW w:w="3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行政事业性收费</w:t>
            </w:r>
          </w:p>
        </w:tc>
        <w:tc>
          <w:tcPr>
            <w:tcW w:w="560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0</w:t>
            </w:r>
          </w:p>
        </w:tc>
      </w:tr>
    </w:tbl>
    <w:p>
      <w:pPr>
        <w:widowControl/>
        <w:spacing w:line="560" w:lineRule="exact"/>
        <w:ind w:firstLine="640" w:firstLineChars="200"/>
        <w:rPr>
          <w:rFonts w:ascii="仿宋_GB2312" w:hAnsi="微软雅黑" w:eastAsia="仿宋_GB2312" w:cs="微软雅黑"/>
          <w:bCs/>
          <w:color w:val="000000"/>
          <w:kern w:val="0"/>
          <w:sz w:val="32"/>
          <w:szCs w:val="32"/>
        </w:rPr>
      </w:pPr>
    </w:p>
    <w:p>
      <w:pPr>
        <w:keepNext w:val="0"/>
        <w:keepLines w:val="0"/>
        <w:pageBreakBefore w:val="0"/>
        <w:widowControl/>
        <w:kinsoku/>
        <w:wordWrap/>
        <w:overflowPunct/>
        <w:topLinePunct w:val="0"/>
        <w:autoSpaceDE/>
        <w:autoSpaceDN/>
        <w:bidi w:val="0"/>
        <w:adjustRightInd/>
        <w:snapToGrid/>
        <w:ind w:firstLine="560" w:firstLineChars="200"/>
        <w:textAlignment w:val="auto"/>
        <w:outlineLvl w:val="0"/>
        <w:rPr>
          <w:rFonts w:ascii="黑体" w:hAnsi="黑体" w:eastAsia="黑体" w:cs="微软雅黑"/>
          <w:color w:val="333333"/>
          <w:sz w:val="32"/>
          <w:szCs w:val="32"/>
          <w:shd w:val="clear" w:color="auto" w:fill="FFFFFF"/>
        </w:rPr>
      </w:pPr>
      <w:r>
        <w:rPr>
          <w:rFonts w:hint="eastAsia" w:ascii="微软雅黑" w:hAnsi="微软雅黑" w:eastAsia="微软雅黑" w:cs="微软雅黑"/>
          <w:b/>
          <w:color w:val="000000"/>
          <w:sz w:val="28"/>
          <w:szCs w:val="28"/>
        </w:rPr>
        <w:t>三、</w:t>
      </w:r>
      <w:r>
        <w:rPr>
          <w:rFonts w:hint="eastAsia" w:ascii="黑体" w:hAnsi="黑体" w:eastAsia="黑体" w:cs="微软雅黑"/>
          <w:color w:val="333333"/>
          <w:sz w:val="32"/>
          <w:szCs w:val="32"/>
          <w:shd w:val="clear" w:color="auto" w:fill="FFFFFF"/>
        </w:rPr>
        <w:t>收到和处理政府信息公开申请情况</w:t>
      </w:r>
    </w:p>
    <w:tbl>
      <w:tblPr>
        <w:tblStyle w:val="6"/>
        <w:tblW w:w="954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871"/>
        <w:gridCol w:w="908"/>
        <w:gridCol w:w="789"/>
        <w:gridCol w:w="865"/>
        <w:gridCol w:w="766"/>
        <w:gridCol w:w="9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（本列数据的勾稽关系为：第一项加第二项之和，等于第三项加第四项之和）</w:t>
            </w:r>
          </w:p>
        </w:tc>
        <w:tc>
          <w:tcPr>
            <w:tcW w:w="599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自然人</w:t>
            </w:r>
          </w:p>
        </w:tc>
        <w:tc>
          <w:tcPr>
            <w:tcW w:w="4199"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法人或其他组织</w:t>
            </w:r>
          </w:p>
        </w:tc>
        <w:tc>
          <w:tcPr>
            <w:tcW w:w="97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商业企业</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科研机构</w:t>
            </w:r>
          </w:p>
        </w:tc>
        <w:tc>
          <w:tcPr>
            <w:tcW w:w="78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社会公益组织</w:t>
            </w:r>
          </w:p>
        </w:tc>
        <w:tc>
          <w:tcPr>
            <w:tcW w:w="86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法律服务机构</w:t>
            </w:r>
          </w:p>
        </w:tc>
        <w:tc>
          <w:tcPr>
            <w:tcW w:w="76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其他</w:t>
            </w:r>
          </w:p>
        </w:tc>
        <w:tc>
          <w:tcPr>
            <w:tcW w:w="97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4" w:space="0"/>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940" w:type="dxa"/>
            <w:gridSpan w:val="2"/>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（二）部分公开（区分处理的，只计这一情形，不计其他情形）</w:t>
            </w:r>
          </w:p>
        </w:tc>
        <w:tc>
          <w:tcPr>
            <w:tcW w:w="813"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c>
          <w:tcPr>
            <w:tcW w:w="871"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（三）不予公开</w:t>
            </w:r>
          </w:p>
        </w:tc>
        <w:tc>
          <w:tcPr>
            <w:tcW w:w="20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1.属于国家秘密</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2.其他法律行政法规禁止公开</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single" w:color="auto" w:sz="4" w:space="0"/>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3.危及“三安全一稳定”</w:t>
            </w:r>
          </w:p>
        </w:tc>
        <w:tc>
          <w:tcPr>
            <w:tcW w:w="813"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4"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4.保护第三方合法权益</w:t>
            </w:r>
          </w:p>
        </w:tc>
        <w:tc>
          <w:tcPr>
            <w:tcW w:w="813"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c>
          <w:tcPr>
            <w:tcW w:w="871"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5.属于三类内部事务信息</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6.属于四类过程性信息</w:t>
            </w:r>
          </w:p>
        </w:tc>
        <w:tc>
          <w:tcPr>
            <w:tcW w:w="813"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c>
          <w:tcPr>
            <w:tcW w:w="871"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45" w:hRule="atLeast"/>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ascii="微软雅黑" w:hAnsi="微软雅黑" w:eastAsia="微软雅黑" w:cs="微软雅黑"/>
                <w:sz w:val="18"/>
                <w:szCs w:val="18"/>
              </w:rPr>
            </w:pPr>
          </w:p>
        </w:tc>
        <w:tc>
          <w:tcPr>
            <w:tcW w:w="854" w:type="dxa"/>
            <w:vMerge w:val="restart"/>
            <w:tcBorders>
              <w:top w:val="nil"/>
              <w:left w:val="nil"/>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（六）其他处理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1.申请人无正当理由逾期不补正、行政机关不再处理其政府信息公开申请</w:t>
            </w:r>
            <w:r>
              <w:rPr>
                <w:rFonts w:hint="eastAsia" w:ascii="微软雅黑" w:hAnsi="微软雅黑" w:eastAsia="微软雅黑" w:cs="微软雅黑"/>
                <w:kern w:val="0"/>
                <w:sz w:val="18"/>
                <w:szCs w:val="18"/>
              </w:rPr>
              <w:tab/>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616"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widowControl/>
              <w:spacing w:after="180"/>
              <w:jc w:val="center"/>
            </w:pPr>
          </w:p>
        </w:tc>
        <w:tc>
          <w:tcPr>
            <w:tcW w:w="854" w:type="dxa"/>
            <w:vMerge w:val="continue"/>
            <w:tcBorders>
              <w:left w:val="nil"/>
              <w:right w:val="single" w:color="auto" w:sz="8" w:space="0"/>
            </w:tcBorders>
            <w:noWrap w:val="0"/>
            <w:tcMar>
              <w:left w:w="108" w:type="dxa"/>
              <w:right w:w="108" w:type="dxa"/>
            </w:tcMar>
            <w:vAlign w:val="center"/>
          </w:tcPr>
          <w:p>
            <w:pPr>
              <w:widowControl/>
              <w:spacing w:after="180"/>
              <w:jc w:val="cente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2.申请人逾期未按收费通知要求缴纳费用、行政机关不再处理其政府信息公开申请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87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0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789"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8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616" w:type="dxa"/>
            <w:vMerge w:val="continue"/>
            <w:tcBorders>
              <w:left w:val="single" w:color="auto" w:sz="4" w:space="0"/>
              <w:bottom w:val="single" w:color="auto" w:sz="8"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p>
        </w:tc>
        <w:tc>
          <w:tcPr>
            <w:tcW w:w="854" w:type="dxa"/>
            <w:vMerge w:val="continue"/>
            <w:tcBorders>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p>
        </w:tc>
        <w:tc>
          <w:tcPr>
            <w:tcW w:w="2086"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3.其他</w:t>
            </w:r>
          </w:p>
        </w:tc>
        <w:tc>
          <w:tcPr>
            <w:tcW w:w="813"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871"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0</w:t>
            </w:r>
          </w:p>
        </w:tc>
        <w:tc>
          <w:tcPr>
            <w:tcW w:w="908"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789"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865"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766"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78" w:type="dxa"/>
            <w:tcBorders>
              <w:top w:val="nil"/>
              <w:left w:val="nil"/>
              <w:bottom w:val="single" w:color="auto" w:sz="4"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4" w:space="0"/>
              <w:right w:val="single" w:color="auto" w:sz="4" w:space="0"/>
            </w:tcBorders>
            <w:noWrap w:val="0"/>
            <w:tcMar>
              <w:left w:w="108" w:type="dxa"/>
              <w:right w:w="108" w:type="dxa"/>
            </w:tcMar>
            <w:vAlign w:val="center"/>
          </w:tcPr>
          <w:p>
            <w:pPr>
              <w:rPr>
                <w:rFonts w:ascii="微软雅黑" w:hAnsi="微软雅黑" w:eastAsia="微软雅黑" w:cs="微软雅黑"/>
                <w:sz w:val="18"/>
                <w:szCs w:val="18"/>
              </w:rPr>
            </w:pPr>
          </w:p>
        </w:tc>
        <w:tc>
          <w:tcPr>
            <w:tcW w:w="2940"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（七）总计</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w:t>
            </w:r>
          </w:p>
        </w:tc>
        <w:tc>
          <w:tcPr>
            <w:tcW w:w="8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c>
          <w:tcPr>
            <w:tcW w:w="9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rPr>
              <w:t>四、结转下年度继续办理</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p>
        </w:tc>
        <w:tc>
          <w:tcPr>
            <w:tcW w:w="8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ascii="微软雅黑" w:hAnsi="微软雅黑" w:eastAsia="微软雅黑" w:cs="微软雅黑"/>
                <w:sz w:val="18"/>
                <w:szCs w:val="18"/>
              </w:rPr>
              <w:t>0</w:t>
            </w:r>
          </w:p>
        </w:tc>
        <w:tc>
          <w:tcPr>
            <w:tcW w:w="9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8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180"/>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ascii="黑体" w:hAnsi="黑体" w:eastAsia="黑体" w:cs="微软雅黑"/>
          <w:color w:val="333333"/>
          <w:sz w:val="32"/>
          <w:szCs w:val="32"/>
          <w:shd w:val="clear" w:color="auto" w:fill="FFFFFF"/>
        </w:rPr>
      </w:pPr>
      <w:r>
        <w:rPr>
          <w:rFonts w:hint="eastAsia" w:ascii="黑体" w:hAnsi="黑体" w:eastAsia="黑体" w:cs="微软雅黑"/>
          <w:color w:val="333333"/>
          <w:sz w:val="32"/>
          <w:szCs w:val="32"/>
          <w:shd w:val="clear" w:color="auto" w:fill="FFFFFF"/>
        </w:rPr>
        <w:t>四、政府信息公开行政复议、行政诉讼情况</w:t>
      </w:r>
    </w:p>
    <w:tbl>
      <w:tblPr>
        <w:tblStyle w:val="6"/>
        <w:tblpPr w:leftFromText="180" w:rightFromText="180" w:vertAnchor="text" w:horzAnchor="page" w:tblpXSpec="center" w:tblpY="102"/>
        <w:tblOverlap w:val="never"/>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38"/>
        <w:gridCol w:w="639"/>
        <w:gridCol w:w="639"/>
        <w:gridCol w:w="638"/>
        <w:gridCol w:w="639"/>
        <w:gridCol w:w="638"/>
        <w:gridCol w:w="639"/>
        <w:gridCol w:w="639"/>
        <w:gridCol w:w="638"/>
        <w:gridCol w:w="638"/>
        <w:gridCol w:w="639"/>
        <w:gridCol w:w="639"/>
        <w:gridCol w:w="639"/>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192" w:type="dxa"/>
            <w:gridSpan w:val="5"/>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行政复议</w:t>
            </w:r>
          </w:p>
        </w:tc>
        <w:tc>
          <w:tcPr>
            <w:tcW w:w="6388" w:type="dxa"/>
            <w:gridSpan w:val="10"/>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39" w:type="dxa"/>
            <w:vMerge w:val="restart"/>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结果维持</w:t>
            </w:r>
          </w:p>
        </w:tc>
        <w:tc>
          <w:tcPr>
            <w:tcW w:w="638" w:type="dxa"/>
            <w:vMerge w:val="restart"/>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结果纠正</w:t>
            </w:r>
          </w:p>
        </w:tc>
        <w:tc>
          <w:tcPr>
            <w:tcW w:w="639" w:type="dxa"/>
            <w:vMerge w:val="restart"/>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其他结果</w:t>
            </w:r>
          </w:p>
        </w:tc>
        <w:tc>
          <w:tcPr>
            <w:tcW w:w="639" w:type="dxa"/>
            <w:vMerge w:val="restart"/>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尚未审结</w:t>
            </w:r>
          </w:p>
        </w:tc>
        <w:tc>
          <w:tcPr>
            <w:tcW w:w="638" w:type="dxa"/>
            <w:vMerge w:val="restart"/>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总计</w:t>
            </w:r>
          </w:p>
        </w:tc>
        <w:tc>
          <w:tcPr>
            <w:tcW w:w="3192" w:type="dxa"/>
            <w:gridSpan w:val="5"/>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未经复议直接起诉</w:t>
            </w:r>
          </w:p>
        </w:tc>
        <w:tc>
          <w:tcPr>
            <w:tcW w:w="3195" w:type="dxa"/>
            <w:gridSpan w:val="5"/>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Merge w:val="continue"/>
            <w:shd w:val="clear" w:color="auto" w:fill="auto"/>
            <w:noWrap w:val="0"/>
            <w:vAlign w:val="top"/>
          </w:tcPr>
          <w:p>
            <w:pPr>
              <w:rPr>
                <w:rFonts w:ascii="微软雅黑" w:hAnsi="微软雅黑" w:eastAsia="微软雅黑" w:cs="微软雅黑"/>
                <w:bCs/>
                <w:color w:val="333333"/>
                <w:sz w:val="18"/>
                <w:szCs w:val="18"/>
                <w:shd w:val="clear" w:color="auto" w:fill="FFFFFF"/>
              </w:rPr>
            </w:pPr>
          </w:p>
        </w:tc>
        <w:tc>
          <w:tcPr>
            <w:tcW w:w="638" w:type="dxa"/>
            <w:vMerge w:val="continue"/>
            <w:shd w:val="clear" w:color="auto" w:fill="auto"/>
            <w:noWrap w:val="0"/>
            <w:vAlign w:val="top"/>
          </w:tcPr>
          <w:p>
            <w:pPr>
              <w:rPr>
                <w:rFonts w:ascii="微软雅黑" w:hAnsi="微软雅黑" w:eastAsia="微软雅黑" w:cs="微软雅黑"/>
                <w:bCs/>
                <w:color w:val="333333"/>
                <w:sz w:val="18"/>
                <w:szCs w:val="18"/>
                <w:shd w:val="clear" w:color="auto" w:fill="FFFFFF"/>
              </w:rPr>
            </w:pPr>
          </w:p>
        </w:tc>
        <w:tc>
          <w:tcPr>
            <w:tcW w:w="639" w:type="dxa"/>
            <w:vMerge w:val="continue"/>
            <w:shd w:val="clear" w:color="auto" w:fill="auto"/>
            <w:noWrap w:val="0"/>
            <w:vAlign w:val="top"/>
          </w:tcPr>
          <w:p>
            <w:pPr>
              <w:rPr>
                <w:rFonts w:ascii="微软雅黑" w:hAnsi="微软雅黑" w:eastAsia="微软雅黑" w:cs="微软雅黑"/>
                <w:bCs/>
                <w:color w:val="333333"/>
                <w:sz w:val="18"/>
                <w:szCs w:val="18"/>
                <w:shd w:val="clear" w:color="auto" w:fill="FFFFFF"/>
              </w:rPr>
            </w:pPr>
          </w:p>
        </w:tc>
        <w:tc>
          <w:tcPr>
            <w:tcW w:w="639" w:type="dxa"/>
            <w:vMerge w:val="continue"/>
            <w:shd w:val="clear" w:color="auto" w:fill="auto"/>
            <w:noWrap w:val="0"/>
            <w:vAlign w:val="top"/>
          </w:tcPr>
          <w:p>
            <w:pPr>
              <w:rPr>
                <w:rFonts w:ascii="微软雅黑" w:hAnsi="微软雅黑" w:eastAsia="微软雅黑" w:cs="微软雅黑"/>
                <w:bCs/>
                <w:color w:val="333333"/>
                <w:sz w:val="18"/>
                <w:szCs w:val="18"/>
                <w:shd w:val="clear" w:color="auto" w:fill="FFFFFF"/>
              </w:rPr>
            </w:pPr>
          </w:p>
        </w:tc>
        <w:tc>
          <w:tcPr>
            <w:tcW w:w="638" w:type="dxa"/>
            <w:vMerge w:val="continue"/>
            <w:shd w:val="clear" w:color="auto" w:fill="auto"/>
            <w:noWrap w:val="0"/>
            <w:vAlign w:val="top"/>
          </w:tcPr>
          <w:p>
            <w:pPr>
              <w:rPr>
                <w:rFonts w:ascii="微软雅黑" w:hAnsi="微软雅黑" w:eastAsia="微软雅黑" w:cs="微软雅黑"/>
                <w:bCs/>
                <w:color w:val="333333"/>
                <w:sz w:val="18"/>
                <w:szCs w:val="18"/>
                <w:shd w:val="clear" w:color="auto" w:fill="FFFFFF"/>
              </w:rPr>
            </w:pPr>
          </w:p>
        </w:tc>
        <w:tc>
          <w:tcPr>
            <w:tcW w:w="639"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结果维持</w:t>
            </w:r>
          </w:p>
        </w:tc>
        <w:tc>
          <w:tcPr>
            <w:tcW w:w="638"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结果纠正</w:t>
            </w:r>
          </w:p>
        </w:tc>
        <w:tc>
          <w:tcPr>
            <w:tcW w:w="639"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其他结果</w:t>
            </w:r>
          </w:p>
        </w:tc>
        <w:tc>
          <w:tcPr>
            <w:tcW w:w="639"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尚未审结</w:t>
            </w:r>
          </w:p>
        </w:tc>
        <w:tc>
          <w:tcPr>
            <w:tcW w:w="638"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总计</w:t>
            </w:r>
          </w:p>
        </w:tc>
        <w:tc>
          <w:tcPr>
            <w:tcW w:w="638"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结果维持</w:t>
            </w:r>
          </w:p>
        </w:tc>
        <w:tc>
          <w:tcPr>
            <w:tcW w:w="639"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结果纠正</w:t>
            </w:r>
          </w:p>
        </w:tc>
        <w:tc>
          <w:tcPr>
            <w:tcW w:w="639"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其他结果</w:t>
            </w:r>
          </w:p>
        </w:tc>
        <w:tc>
          <w:tcPr>
            <w:tcW w:w="639"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尚未审结</w:t>
            </w:r>
          </w:p>
        </w:tc>
        <w:tc>
          <w:tcPr>
            <w:tcW w:w="640" w:type="dxa"/>
            <w:shd w:val="clear" w:color="auto" w:fill="auto"/>
            <w:noWrap w:val="0"/>
            <w:vAlign w:val="center"/>
          </w:tcPr>
          <w:p>
            <w:pPr>
              <w:widowControl/>
              <w:jc w:val="center"/>
              <w:textAlignment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000000"/>
                <w:kern w:val="0"/>
                <w:sz w:val="18"/>
                <w:szCs w:val="18"/>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9"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ascii="微软雅黑" w:hAnsi="微软雅黑" w:eastAsia="微软雅黑" w:cs="微软雅黑"/>
                <w:bCs/>
                <w:color w:val="333333"/>
                <w:sz w:val="18"/>
                <w:szCs w:val="18"/>
                <w:shd w:val="clear" w:color="auto" w:fill="FFFFFF"/>
              </w:rPr>
              <w:t>6</w:t>
            </w:r>
          </w:p>
        </w:tc>
        <w:tc>
          <w:tcPr>
            <w:tcW w:w="638" w:type="dxa"/>
            <w:shd w:val="clear" w:color="auto" w:fill="auto"/>
            <w:noWrap w:val="0"/>
            <w:vAlign w:val="top"/>
          </w:tcPr>
          <w:p>
            <w:pPr>
              <w:jc w:val="center"/>
              <w:rPr>
                <w:rFonts w:hint="eastAsia" w:ascii="微软雅黑" w:hAnsi="微软雅黑" w:eastAsia="微软雅黑" w:cs="微软雅黑"/>
                <w:bCs/>
                <w:color w:val="333333"/>
                <w:sz w:val="18"/>
                <w:szCs w:val="18"/>
                <w:shd w:val="clear" w:color="auto" w:fill="FFFFFF"/>
                <w:lang w:eastAsia="zh-CN"/>
              </w:rPr>
            </w:pPr>
            <w:r>
              <w:rPr>
                <w:rFonts w:hint="eastAsia" w:ascii="微软雅黑" w:hAnsi="微软雅黑" w:eastAsia="微软雅黑" w:cs="微软雅黑"/>
                <w:bCs/>
                <w:color w:val="333333"/>
                <w:sz w:val="18"/>
                <w:szCs w:val="18"/>
                <w:shd w:val="clear" w:color="auto" w:fill="FFFFFF"/>
                <w:lang w:val="en-US" w:eastAsia="zh-CN"/>
              </w:rPr>
              <w:t>0</w:t>
            </w:r>
          </w:p>
        </w:tc>
        <w:tc>
          <w:tcPr>
            <w:tcW w:w="639" w:type="dxa"/>
            <w:shd w:val="clear" w:color="auto" w:fill="auto"/>
            <w:noWrap w:val="0"/>
            <w:vAlign w:val="top"/>
          </w:tcPr>
          <w:p>
            <w:pPr>
              <w:jc w:val="center"/>
              <w:rPr>
                <w:rFonts w:hint="default" w:ascii="微软雅黑" w:hAnsi="微软雅黑" w:eastAsia="微软雅黑" w:cs="微软雅黑"/>
                <w:bCs/>
                <w:color w:val="333333"/>
                <w:sz w:val="18"/>
                <w:szCs w:val="18"/>
                <w:shd w:val="clear" w:color="auto" w:fill="FFFFFF"/>
                <w:lang w:val="en-US" w:eastAsia="zh-CN"/>
              </w:rPr>
            </w:pPr>
            <w:r>
              <w:rPr>
                <w:rFonts w:hint="eastAsia" w:ascii="微软雅黑" w:hAnsi="微软雅黑" w:eastAsia="微软雅黑" w:cs="微软雅黑"/>
                <w:bCs/>
                <w:color w:val="333333"/>
                <w:sz w:val="18"/>
                <w:szCs w:val="18"/>
                <w:shd w:val="clear" w:color="auto" w:fill="FFFFFF"/>
                <w:lang w:val="en-US" w:eastAsia="zh-CN"/>
              </w:rPr>
              <w:t>0</w:t>
            </w:r>
          </w:p>
        </w:tc>
        <w:tc>
          <w:tcPr>
            <w:tcW w:w="639" w:type="dxa"/>
            <w:shd w:val="clear" w:color="auto" w:fill="auto"/>
            <w:noWrap w:val="0"/>
            <w:vAlign w:val="top"/>
          </w:tcPr>
          <w:p>
            <w:pPr>
              <w:jc w:val="center"/>
              <w:rPr>
                <w:rFonts w:hint="eastAsia" w:ascii="微软雅黑" w:hAnsi="微软雅黑" w:eastAsia="微软雅黑" w:cs="微软雅黑"/>
                <w:bCs/>
                <w:color w:val="333333"/>
                <w:sz w:val="18"/>
                <w:szCs w:val="18"/>
                <w:shd w:val="clear" w:color="auto" w:fill="FFFFFF"/>
                <w:lang w:eastAsia="zh-CN"/>
              </w:rPr>
            </w:pPr>
            <w:r>
              <w:rPr>
                <w:rFonts w:hint="eastAsia" w:ascii="微软雅黑" w:hAnsi="微软雅黑" w:eastAsia="微软雅黑" w:cs="微软雅黑"/>
                <w:bCs/>
                <w:color w:val="333333"/>
                <w:sz w:val="18"/>
                <w:szCs w:val="18"/>
                <w:shd w:val="clear" w:color="auto" w:fill="FFFFFF"/>
                <w:lang w:val="en-US" w:eastAsia="zh-CN"/>
              </w:rPr>
              <w:t>0</w:t>
            </w:r>
          </w:p>
        </w:tc>
        <w:tc>
          <w:tcPr>
            <w:tcW w:w="638" w:type="dxa"/>
            <w:shd w:val="clear" w:color="auto" w:fill="auto"/>
            <w:noWrap w:val="0"/>
            <w:vAlign w:val="top"/>
          </w:tcPr>
          <w:p>
            <w:pPr>
              <w:jc w:val="center"/>
              <w:rPr>
                <w:rFonts w:hint="eastAsia" w:ascii="微软雅黑" w:hAnsi="微软雅黑" w:eastAsia="微软雅黑" w:cs="微软雅黑"/>
                <w:bCs/>
                <w:color w:val="333333"/>
                <w:sz w:val="18"/>
                <w:szCs w:val="18"/>
                <w:shd w:val="clear" w:color="auto" w:fill="FFFFFF"/>
                <w:lang w:eastAsia="zh-CN"/>
              </w:rPr>
            </w:pPr>
            <w:r>
              <w:rPr>
                <w:rFonts w:hint="eastAsia" w:ascii="微软雅黑" w:hAnsi="微软雅黑" w:eastAsia="微软雅黑" w:cs="微软雅黑"/>
                <w:bCs/>
                <w:color w:val="333333"/>
                <w:sz w:val="18"/>
                <w:szCs w:val="18"/>
                <w:shd w:val="clear" w:color="auto" w:fill="FFFFFF"/>
                <w:lang w:val="en-US" w:eastAsia="zh-CN"/>
              </w:rPr>
              <w:t>6</w:t>
            </w:r>
          </w:p>
        </w:tc>
        <w:tc>
          <w:tcPr>
            <w:tcW w:w="639"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ascii="微软雅黑" w:hAnsi="微软雅黑" w:eastAsia="微软雅黑" w:cs="微软雅黑"/>
                <w:bCs/>
                <w:color w:val="333333"/>
                <w:sz w:val="18"/>
                <w:szCs w:val="18"/>
                <w:shd w:val="clear" w:color="auto" w:fill="FFFFFF"/>
              </w:rPr>
              <w:t>0</w:t>
            </w:r>
          </w:p>
        </w:tc>
        <w:tc>
          <w:tcPr>
            <w:tcW w:w="638"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0</w:t>
            </w:r>
          </w:p>
        </w:tc>
        <w:tc>
          <w:tcPr>
            <w:tcW w:w="639"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0</w:t>
            </w:r>
          </w:p>
        </w:tc>
        <w:tc>
          <w:tcPr>
            <w:tcW w:w="639"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0</w:t>
            </w:r>
          </w:p>
        </w:tc>
        <w:tc>
          <w:tcPr>
            <w:tcW w:w="638"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ascii="微软雅黑" w:hAnsi="微软雅黑" w:eastAsia="微软雅黑" w:cs="微软雅黑"/>
                <w:bCs/>
                <w:color w:val="333333"/>
                <w:sz w:val="18"/>
                <w:szCs w:val="18"/>
                <w:shd w:val="clear" w:color="auto" w:fill="FFFFFF"/>
              </w:rPr>
              <w:t>0</w:t>
            </w:r>
          </w:p>
        </w:tc>
        <w:tc>
          <w:tcPr>
            <w:tcW w:w="638"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0</w:t>
            </w:r>
          </w:p>
        </w:tc>
        <w:tc>
          <w:tcPr>
            <w:tcW w:w="639"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0</w:t>
            </w:r>
          </w:p>
        </w:tc>
        <w:tc>
          <w:tcPr>
            <w:tcW w:w="639"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0</w:t>
            </w:r>
          </w:p>
        </w:tc>
        <w:tc>
          <w:tcPr>
            <w:tcW w:w="639"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0</w:t>
            </w:r>
          </w:p>
        </w:tc>
        <w:tc>
          <w:tcPr>
            <w:tcW w:w="640" w:type="dxa"/>
            <w:shd w:val="clear" w:color="auto" w:fill="auto"/>
            <w:noWrap w:val="0"/>
            <w:vAlign w:val="top"/>
          </w:tcPr>
          <w:p>
            <w:pPr>
              <w:jc w:val="center"/>
              <w:rPr>
                <w:rFonts w:ascii="微软雅黑" w:hAnsi="微软雅黑" w:eastAsia="微软雅黑" w:cs="微软雅黑"/>
                <w:bCs/>
                <w:color w:val="333333"/>
                <w:sz w:val="18"/>
                <w:szCs w:val="18"/>
                <w:shd w:val="clear" w:color="auto" w:fill="FFFFFF"/>
              </w:rPr>
            </w:pPr>
            <w:r>
              <w:rPr>
                <w:rFonts w:hint="eastAsia" w:ascii="微软雅黑" w:hAnsi="微软雅黑" w:eastAsia="微软雅黑" w:cs="微软雅黑"/>
                <w:bCs/>
                <w:color w:val="333333"/>
                <w:sz w:val="18"/>
                <w:szCs w:val="18"/>
                <w:shd w:val="clear" w:color="auto" w:fill="FFFFFF"/>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ascii="黑体" w:hAnsi="黑体" w:eastAsia="黑体" w:cs="微软雅黑"/>
          <w:color w:val="333333"/>
          <w:sz w:val="32"/>
          <w:szCs w:val="32"/>
          <w:shd w:val="clear" w:color="auto" w:fill="FFFFFF"/>
        </w:rPr>
      </w:pPr>
      <w:r>
        <w:rPr>
          <w:rFonts w:hint="eastAsia" w:ascii="黑体" w:hAnsi="黑体" w:eastAsia="黑体" w:cs="微软雅黑"/>
          <w:color w:val="333333"/>
          <w:sz w:val="32"/>
          <w:szCs w:val="32"/>
          <w:shd w:val="clear" w:color="auto" w:fill="FFFFFF"/>
        </w:rPr>
        <w:t>五、存在的主要问题及改进情况</w:t>
      </w:r>
    </w:p>
    <w:p>
      <w:pPr>
        <w:spacing w:line="560" w:lineRule="exact"/>
        <w:ind w:firstLine="640" w:firstLineChars="200"/>
        <w:rPr>
          <w:rFonts w:hint="eastAsia" w:ascii="仿宋_GB2312" w:hAnsi="微软雅黑" w:eastAsia="仿宋_GB2312" w:cs="微软雅黑"/>
          <w:bCs/>
          <w:color w:val="000000"/>
          <w:kern w:val="0"/>
          <w:sz w:val="32"/>
          <w:szCs w:val="32"/>
          <w:lang w:eastAsia="zh-CN"/>
        </w:rPr>
      </w:pPr>
      <w:r>
        <w:rPr>
          <w:rFonts w:hint="eastAsia" w:ascii="仿宋_GB2312" w:hAnsi="微软雅黑" w:eastAsia="仿宋_GB2312" w:cs="微软雅黑"/>
          <w:bCs/>
          <w:color w:val="000000"/>
          <w:kern w:val="0"/>
          <w:sz w:val="32"/>
          <w:szCs w:val="32"/>
        </w:rPr>
        <w:t>2</w:t>
      </w:r>
      <w:r>
        <w:rPr>
          <w:rFonts w:ascii="仿宋_GB2312" w:hAnsi="微软雅黑" w:eastAsia="仿宋_GB2312" w:cs="微软雅黑"/>
          <w:bCs/>
          <w:color w:val="000000"/>
          <w:kern w:val="0"/>
          <w:sz w:val="32"/>
          <w:szCs w:val="32"/>
        </w:rPr>
        <w:t>02</w:t>
      </w:r>
      <w:r>
        <w:rPr>
          <w:rFonts w:hint="eastAsia" w:ascii="仿宋_GB2312" w:hAnsi="微软雅黑" w:eastAsia="仿宋_GB2312" w:cs="微软雅黑"/>
          <w:bCs/>
          <w:color w:val="000000"/>
          <w:kern w:val="0"/>
          <w:sz w:val="32"/>
          <w:szCs w:val="32"/>
          <w:lang w:val="en-US" w:eastAsia="zh-CN"/>
        </w:rPr>
        <w:t>3</w:t>
      </w:r>
      <w:r>
        <w:rPr>
          <w:rFonts w:hint="eastAsia" w:ascii="仿宋_GB2312" w:hAnsi="微软雅黑" w:eastAsia="仿宋_GB2312" w:cs="微软雅黑"/>
          <w:bCs/>
          <w:color w:val="000000"/>
          <w:kern w:val="0"/>
          <w:sz w:val="32"/>
          <w:szCs w:val="32"/>
        </w:rPr>
        <w:t>年</w:t>
      </w:r>
      <w:r>
        <w:rPr>
          <w:rFonts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rPr>
        <w:t>唐镇高度重视政务公开</w:t>
      </w:r>
      <w:r>
        <w:rPr>
          <w:rFonts w:ascii="仿宋_GB2312" w:hAnsi="微软雅黑" w:eastAsia="仿宋_GB2312" w:cs="微软雅黑"/>
          <w:bCs/>
          <w:color w:val="000000"/>
          <w:kern w:val="0"/>
          <w:sz w:val="32"/>
          <w:szCs w:val="32"/>
        </w:rPr>
        <w:t>工作</w:t>
      </w:r>
      <w:r>
        <w:rPr>
          <w:rFonts w:hint="eastAsia" w:ascii="仿宋_GB2312" w:hAnsi="微软雅黑" w:eastAsia="仿宋_GB2312" w:cs="微软雅黑"/>
          <w:bCs/>
          <w:color w:val="000000"/>
          <w:kern w:val="0"/>
          <w:sz w:val="32"/>
          <w:szCs w:val="32"/>
        </w:rPr>
        <w:t>，但</w:t>
      </w:r>
      <w:r>
        <w:rPr>
          <w:rFonts w:ascii="仿宋_GB2312" w:hAnsi="微软雅黑" w:eastAsia="仿宋_GB2312" w:cs="微软雅黑"/>
          <w:bCs/>
          <w:color w:val="000000"/>
          <w:kern w:val="0"/>
          <w:sz w:val="32"/>
          <w:szCs w:val="32"/>
        </w:rPr>
        <w:t>与</w:t>
      </w:r>
      <w:r>
        <w:rPr>
          <w:rFonts w:hint="eastAsia" w:ascii="仿宋_GB2312" w:hAnsi="华文中宋" w:eastAsia="仿宋_GB2312"/>
          <w:kern w:val="0"/>
          <w:sz w:val="32"/>
          <w:szCs w:val="32"/>
          <w:lang w:eastAsia="zh-CN"/>
        </w:rPr>
        <w:t>全市</w:t>
      </w:r>
      <w:r>
        <w:rPr>
          <w:rFonts w:hint="eastAsia" w:ascii="仿宋_GB2312" w:hAnsi="华文中宋" w:eastAsia="仿宋_GB2312"/>
          <w:kern w:val="0"/>
          <w:sz w:val="32"/>
          <w:szCs w:val="32"/>
        </w:rPr>
        <w:t>政务公开工作</w:t>
      </w:r>
      <w:r>
        <w:rPr>
          <w:rFonts w:hint="eastAsia" w:ascii="仿宋_GB2312" w:hAnsi="微软雅黑" w:eastAsia="仿宋_GB2312" w:cs="微软雅黑"/>
          <w:bCs/>
          <w:color w:val="000000"/>
          <w:kern w:val="0"/>
          <w:sz w:val="32"/>
          <w:szCs w:val="32"/>
        </w:rPr>
        <w:t>的要求还有一些</w:t>
      </w:r>
      <w:r>
        <w:rPr>
          <w:rFonts w:ascii="仿宋_GB2312" w:hAnsi="微软雅黑" w:eastAsia="仿宋_GB2312" w:cs="微软雅黑"/>
          <w:bCs/>
          <w:color w:val="000000"/>
          <w:kern w:val="0"/>
          <w:sz w:val="32"/>
          <w:szCs w:val="32"/>
        </w:rPr>
        <w:t>差距</w:t>
      </w:r>
      <w:r>
        <w:rPr>
          <w:rFonts w:hint="eastAsia" w:ascii="仿宋_GB2312" w:hAnsi="微软雅黑" w:eastAsia="仿宋_GB2312" w:cs="微软雅黑"/>
          <w:bCs/>
          <w:color w:val="000000"/>
          <w:kern w:val="0"/>
          <w:sz w:val="32"/>
          <w:szCs w:val="32"/>
          <w:lang w:eastAsia="zh-CN"/>
        </w:rPr>
        <w:t>：一是对于新制定的</w:t>
      </w:r>
      <w:r>
        <w:rPr>
          <w:rFonts w:hint="eastAsia" w:ascii="仿宋_GB2312" w:hAnsi="微软雅黑" w:eastAsia="仿宋_GB2312" w:cs="微软雅黑"/>
          <w:bCs/>
          <w:color w:val="000000"/>
          <w:kern w:val="0"/>
          <w:sz w:val="32"/>
          <w:szCs w:val="32"/>
        </w:rPr>
        <w:t>依申请公开流转机制还需进一步规范</w:t>
      </w:r>
      <w:r>
        <w:rPr>
          <w:rFonts w:hint="eastAsia" w:ascii="仿宋_GB2312" w:hAnsi="微软雅黑" w:eastAsia="仿宋_GB2312" w:cs="微软雅黑"/>
          <w:bCs/>
          <w:color w:val="000000"/>
          <w:kern w:val="0"/>
          <w:sz w:val="32"/>
          <w:szCs w:val="32"/>
          <w:lang w:eastAsia="zh-CN"/>
        </w:rPr>
        <w:t>流程</w:t>
      </w:r>
      <w:bookmarkStart w:id="1" w:name="_GoBack"/>
      <w:bookmarkEnd w:id="1"/>
      <w:r>
        <w:rPr>
          <w:rFonts w:hint="eastAsia" w:ascii="仿宋_GB2312" w:hAnsi="仿宋" w:eastAsia="仿宋_GB2312"/>
          <w:sz w:val="32"/>
          <w:szCs w:val="32"/>
          <w:lang w:eastAsia="zh-CN"/>
        </w:rPr>
        <w:t>。二是</w:t>
      </w:r>
      <w:r>
        <w:rPr>
          <w:rFonts w:hint="eastAsia" w:ascii="仿宋_GB2312" w:hAnsi="微软雅黑" w:eastAsia="仿宋_GB2312" w:cs="微软雅黑"/>
          <w:bCs/>
          <w:color w:val="000000"/>
          <w:kern w:val="0"/>
          <w:sz w:val="32"/>
          <w:szCs w:val="32"/>
        </w:rPr>
        <w:t>对于政务公开</w:t>
      </w:r>
      <w:r>
        <w:rPr>
          <w:rFonts w:ascii="仿宋_GB2312" w:hAnsi="微软雅黑" w:eastAsia="仿宋_GB2312" w:cs="微软雅黑"/>
          <w:bCs/>
          <w:color w:val="000000"/>
          <w:kern w:val="0"/>
          <w:sz w:val="32"/>
          <w:szCs w:val="32"/>
        </w:rPr>
        <w:t>工作的培训</w:t>
      </w:r>
      <w:r>
        <w:rPr>
          <w:rFonts w:hint="eastAsia" w:ascii="仿宋_GB2312" w:hAnsi="微软雅黑" w:eastAsia="仿宋_GB2312" w:cs="微软雅黑"/>
          <w:bCs/>
          <w:color w:val="000000"/>
          <w:kern w:val="0"/>
          <w:sz w:val="32"/>
          <w:szCs w:val="32"/>
        </w:rPr>
        <w:t>力度</w:t>
      </w:r>
      <w:r>
        <w:rPr>
          <w:rFonts w:ascii="仿宋_GB2312" w:hAnsi="微软雅黑" w:eastAsia="仿宋_GB2312" w:cs="微软雅黑"/>
          <w:bCs/>
          <w:color w:val="000000"/>
          <w:kern w:val="0"/>
          <w:sz w:val="32"/>
          <w:szCs w:val="32"/>
        </w:rPr>
        <w:t>还需进一步加强</w:t>
      </w:r>
      <w:r>
        <w:rPr>
          <w:rFonts w:hint="eastAsia"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lang w:eastAsia="zh-CN"/>
        </w:rPr>
        <w:t>三是对于将政策解读精准按需推送到各行各业方面仍有欠缺。</w:t>
      </w:r>
    </w:p>
    <w:p>
      <w:pPr>
        <w:spacing w:line="560" w:lineRule="exact"/>
        <w:ind w:firstLine="640" w:firstLineChars="200"/>
        <w:rPr>
          <w:rFonts w:hint="eastAsia" w:ascii="仿宋_GB2312" w:hAnsi="微软雅黑" w:eastAsia="仿宋_GB2312" w:cs="微软雅黑"/>
          <w:bCs/>
          <w:color w:val="000000"/>
          <w:kern w:val="0"/>
          <w:sz w:val="32"/>
          <w:szCs w:val="32"/>
          <w:lang w:eastAsia="zh-CN"/>
        </w:rPr>
      </w:pPr>
      <w:r>
        <w:rPr>
          <w:rFonts w:hint="eastAsia" w:ascii="仿宋_GB2312" w:hAnsi="微软雅黑" w:eastAsia="仿宋_GB2312" w:cs="微软雅黑"/>
          <w:bCs/>
          <w:color w:val="000000"/>
          <w:kern w:val="0"/>
          <w:sz w:val="32"/>
          <w:szCs w:val="32"/>
        </w:rPr>
        <w:t>针对上述问题，我镇将采取以下措施进一步抓好改进：</w:t>
      </w:r>
      <w:r>
        <w:rPr>
          <w:rFonts w:hint="eastAsia" w:ascii="仿宋_GB2312" w:hAnsi="微软雅黑" w:eastAsia="仿宋_GB2312" w:cs="微软雅黑"/>
          <w:bCs/>
          <w:color w:val="000000"/>
          <w:kern w:val="0"/>
          <w:sz w:val="32"/>
          <w:szCs w:val="32"/>
          <w:lang w:eastAsia="zh-CN"/>
        </w:rPr>
        <w:t>一</w:t>
      </w:r>
      <w:r>
        <w:rPr>
          <w:rFonts w:hint="eastAsia" w:ascii="仿宋_GB2312" w:hAnsi="微软雅黑" w:eastAsia="仿宋_GB2312" w:cs="微软雅黑"/>
          <w:bCs/>
          <w:color w:val="000000"/>
          <w:kern w:val="0"/>
          <w:sz w:val="32"/>
          <w:szCs w:val="32"/>
        </w:rPr>
        <w:t>是强化部门</w:t>
      </w:r>
      <w:r>
        <w:rPr>
          <w:rFonts w:ascii="仿宋_GB2312" w:hAnsi="微软雅黑" w:eastAsia="仿宋_GB2312" w:cs="微软雅黑"/>
          <w:bCs/>
          <w:color w:val="000000"/>
          <w:kern w:val="0"/>
          <w:sz w:val="32"/>
          <w:szCs w:val="32"/>
        </w:rPr>
        <w:t>间的</w:t>
      </w:r>
      <w:r>
        <w:rPr>
          <w:rFonts w:hint="eastAsia" w:ascii="仿宋_GB2312" w:hAnsi="微软雅黑" w:eastAsia="仿宋_GB2312" w:cs="微软雅黑"/>
          <w:bCs/>
          <w:color w:val="000000"/>
          <w:kern w:val="0"/>
          <w:sz w:val="32"/>
          <w:szCs w:val="32"/>
        </w:rPr>
        <w:t>沟通协作和</w:t>
      </w:r>
      <w:r>
        <w:rPr>
          <w:rFonts w:ascii="仿宋_GB2312" w:hAnsi="微软雅黑" w:eastAsia="仿宋_GB2312" w:cs="微软雅黑"/>
          <w:bCs/>
          <w:color w:val="000000"/>
          <w:kern w:val="0"/>
          <w:sz w:val="32"/>
          <w:szCs w:val="32"/>
        </w:rPr>
        <w:t>信息流转</w:t>
      </w:r>
      <w:r>
        <w:rPr>
          <w:rFonts w:hint="eastAsia" w:ascii="仿宋_GB2312" w:hAnsi="微软雅黑" w:eastAsia="仿宋_GB2312" w:cs="微软雅黑"/>
          <w:bCs/>
          <w:color w:val="000000"/>
          <w:kern w:val="0"/>
          <w:sz w:val="32"/>
          <w:szCs w:val="32"/>
        </w:rPr>
        <w:t>，健全完善依申请公开内部处理</w:t>
      </w:r>
      <w:r>
        <w:rPr>
          <w:rFonts w:ascii="仿宋_GB2312" w:hAnsi="微软雅黑" w:eastAsia="仿宋_GB2312" w:cs="微软雅黑"/>
          <w:bCs/>
          <w:color w:val="000000"/>
          <w:kern w:val="0"/>
          <w:sz w:val="32"/>
          <w:szCs w:val="32"/>
        </w:rPr>
        <w:t>流程，</w:t>
      </w:r>
      <w:r>
        <w:rPr>
          <w:rFonts w:hint="eastAsia" w:ascii="仿宋_GB2312" w:hAnsi="微软雅黑" w:eastAsia="仿宋_GB2312" w:cs="微软雅黑"/>
          <w:bCs/>
          <w:color w:val="000000"/>
          <w:kern w:val="0"/>
          <w:sz w:val="32"/>
          <w:szCs w:val="32"/>
          <w:lang w:eastAsia="zh-CN"/>
        </w:rPr>
        <w:t>明确主要经办人名单，同时</w:t>
      </w:r>
      <w:r>
        <w:rPr>
          <w:rFonts w:hint="eastAsia" w:ascii="仿宋_GB2312" w:hAnsi="微软雅黑" w:eastAsia="仿宋_GB2312" w:cs="微软雅黑"/>
          <w:bCs/>
          <w:color w:val="000000"/>
          <w:kern w:val="0"/>
          <w:sz w:val="32"/>
          <w:szCs w:val="32"/>
        </w:rPr>
        <w:t>发挥法律顾问作用，</w:t>
      </w:r>
      <w:r>
        <w:rPr>
          <w:rFonts w:ascii="仿宋_GB2312" w:hAnsi="微软雅黑" w:eastAsia="仿宋_GB2312" w:cs="微软雅黑"/>
          <w:bCs/>
          <w:color w:val="000000"/>
          <w:kern w:val="0"/>
          <w:sz w:val="32"/>
          <w:szCs w:val="32"/>
        </w:rPr>
        <w:t>防范和化解法律风险</w:t>
      </w:r>
      <w:r>
        <w:rPr>
          <w:rFonts w:hint="eastAsia"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lang w:eastAsia="zh-CN"/>
        </w:rPr>
        <w:t>二</w:t>
      </w:r>
      <w:r>
        <w:rPr>
          <w:rFonts w:hint="eastAsia" w:ascii="仿宋_GB2312" w:hAnsi="微软雅黑" w:eastAsia="仿宋_GB2312" w:cs="微软雅黑"/>
          <w:bCs/>
          <w:color w:val="000000"/>
          <w:kern w:val="0"/>
          <w:sz w:val="32"/>
          <w:szCs w:val="32"/>
        </w:rPr>
        <w:t>是</w:t>
      </w:r>
      <w:r>
        <w:rPr>
          <w:rFonts w:hint="eastAsia" w:ascii="仿宋_GB2312" w:hAnsi="微软雅黑" w:eastAsia="仿宋_GB2312" w:cs="微软雅黑"/>
          <w:bCs/>
          <w:color w:val="000000"/>
          <w:kern w:val="0"/>
          <w:sz w:val="32"/>
          <w:szCs w:val="32"/>
          <w:lang w:eastAsia="zh-CN"/>
        </w:rPr>
        <w:t>进一步</w:t>
      </w:r>
      <w:r>
        <w:rPr>
          <w:rFonts w:hint="eastAsia" w:ascii="仿宋_GB2312" w:hAnsi="微软雅黑" w:eastAsia="仿宋_GB2312" w:cs="微软雅黑"/>
          <w:bCs/>
          <w:color w:val="000000"/>
          <w:kern w:val="0"/>
          <w:sz w:val="32"/>
          <w:szCs w:val="32"/>
        </w:rPr>
        <w:t>加强政务公开工作培训力度，提高政务公开工作人员</w:t>
      </w:r>
      <w:r>
        <w:rPr>
          <w:rFonts w:hint="eastAsia" w:ascii="仿宋_GB2312" w:hAnsi="微软雅黑" w:eastAsia="仿宋_GB2312" w:cs="微软雅黑"/>
          <w:bCs/>
          <w:color w:val="000000"/>
          <w:kern w:val="0"/>
          <w:sz w:val="32"/>
          <w:szCs w:val="32"/>
          <w:lang w:eastAsia="zh-CN"/>
        </w:rPr>
        <w:t>履职</w:t>
      </w:r>
      <w:r>
        <w:rPr>
          <w:rFonts w:hint="eastAsia" w:ascii="仿宋_GB2312" w:hAnsi="微软雅黑" w:eastAsia="仿宋_GB2312" w:cs="微软雅黑"/>
          <w:bCs/>
          <w:color w:val="000000"/>
          <w:kern w:val="0"/>
          <w:sz w:val="32"/>
          <w:szCs w:val="32"/>
        </w:rPr>
        <w:t>能力和</w:t>
      </w:r>
      <w:r>
        <w:rPr>
          <w:rFonts w:ascii="仿宋_GB2312" w:hAnsi="微软雅黑" w:eastAsia="仿宋_GB2312" w:cs="微软雅黑"/>
          <w:bCs/>
          <w:color w:val="000000"/>
          <w:kern w:val="0"/>
          <w:sz w:val="32"/>
          <w:szCs w:val="32"/>
        </w:rPr>
        <w:t>业务水平，</w:t>
      </w:r>
      <w:r>
        <w:rPr>
          <w:rFonts w:hint="eastAsia" w:ascii="仿宋_GB2312" w:hAnsi="微软雅黑" w:eastAsia="仿宋_GB2312" w:cs="微软雅黑"/>
          <w:bCs/>
          <w:color w:val="000000"/>
          <w:kern w:val="0"/>
          <w:sz w:val="32"/>
          <w:szCs w:val="32"/>
        </w:rPr>
        <w:t>打造</w:t>
      </w:r>
      <w:r>
        <w:rPr>
          <w:rFonts w:hint="eastAsia" w:ascii="仿宋_GB2312" w:hAnsi="微软雅黑" w:eastAsia="仿宋_GB2312" w:cs="微软雅黑"/>
          <w:bCs/>
          <w:color w:val="000000"/>
          <w:kern w:val="0"/>
          <w:sz w:val="32"/>
          <w:szCs w:val="32"/>
          <w:lang w:eastAsia="zh-CN"/>
        </w:rPr>
        <w:t>一支</w:t>
      </w:r>
      <w:r>
        <w:rPr>
          <w:rFonts w:hint="eastAsia" w:ascii="仿宋_GB2312" w:hAnsi="微软雅黑" w:eastAsia="仿宋_GB2312" w:cs="微软雅黑"/>
          <w:bCs/>
          <w:color w:val="000000"/>
          <w:kern w:val="0"/>
          <w:sz w:val="32"/>
          <w:szCs w:val="32"/>
        </w:rPr>
        <w:t>专业能力过硬</w:t>
      </w:r>
      <w:r>
        <w:rPr>
          <w:rFonts w:ascii="仿宋_GB2312" w:hAnsi="微软雅黑" w:eastAsia="仿宋_GB2312" w:cs="微软雅黑"/>
          <w:bCs/>
          <w:color w:val="000000"/>
          <w:kern w:val="0"/>
          <w:sz w:val="32"/>
          <w:szCs w:val="32"/>
        </w:rPr>
        <w:t>的政务公开队伍</w:t>
      </w:r>
      <w:r>
        <w:rPr>
          <w:rFonts w:hint="eastAsia" w:ascii="仿宋_GB2312" w:hAnsi="微软雅黑" w:eastAsia="仿宋_GB2312" w:cs="微软雅黑"/>
          <w:bCs/>
          <w:color w:val="000000"/>
          <w:kern w:val="0"/>
          <w:sz w:val="32"/>
          <w:szCs w:val="32"/>
        </w:rPr>
        <w:t>。</w:t>
      </w:r>
      <w:r>
        <w:rPr>
          <w:rFonts w:hint="eastAsia" w:ascii="仿宋_GB2312" w:hAnsi="微软雅黑" w:eastAsia="仿宋_GB2312" w:cs="微软雅黑"/>
          <w:bCs/>
          <w:color w:val="000000"/>
          <w:kern w:val="0"/>
          <w:sz w:val="32"/>
          <w:szCs w:val="32"/>
          <w:lang w:eastAsia="zh-CN"/>
        </w:rPr>
        <w:t>三是持续提升政策解读质效，用好线上线下双渠道加强推送精准性。</w:t>
      </w:r>
    </w:p>
    <w:p>
      <w:pPr>
        <w:spacing w:line="560" w:lineRule="exact"/>
        <w:ind w:firstLine="640" w:firstLineChars="200"/>
        <w:rPr>
          <w:rFonts w:ascii="黑体" w:hAnsi="黑体" w:eastAsia="黑体" w:cs="微软雅黑"/>
          <w:color w:val="333333"/>
          <w:sz w:val="32"/>
          <w:szCs w:val="32"/>
          <w:shd w:val="clear" w:color="auto" w:fill="FFFFFF"/>
        </w:rPr>
      </w:pPr>
      <w:r>
        <w:rPr>
          <w:rFonts w:hint="eastAsia" w:ascii="黑体" w:hAnsi="黑体" w:eastAsia="黑体" w:cs="微软雅黑"/>
          <w:color w:val="333333"/>
          <w:sz w:val="32"/>
          <w:szCs w:val="32"/>
          <w:shd w:val="clear" w:color="auto" w:fill="FFFFFF"/>
        </w:rPr>
        <w:t>六、其他需要报告的事项</w:t>
      </w:r>
    </w:p>
    <w:p>
      <w:pPr>
        <w:pStyle w:val="2"/>
        <w:rPr>
          <w:rFonts w:hint="eastAsia" w:ascii="仿宋_GB2312" w:hAnsi="微软雅黑" w:eastAsia="仿宋_GB2312" w:cs="微软雅黑"/>
          <w:bCs/>
          <w:color w:val="000000"/>
          <w:kern w:val="0"/>
          <w:sz w:val="32"/>
          <w:szCs w:val="32"/>
        </w:rPr>
      </w:pPr>
      <w:r>
        <w:rPr>
          <w:rFonts w:hint="eastAsia" w:ascii="仿宋_GB2312" w:hAnsi="微软雅黑" w:eastAsia="仿宋_GB2312" w:cs="微软雅黑"/>
          <w:bCs/>
          <w:color w:val="000000"/>
          <w:kern w:val="0"/>
          <w:sz w:val="32"/>
          <w:szCs w:val="32"/>
        </w:rPr>
        <w:t>唐镇</w:t>
      </w:r>
      <w:r>
        <w:rPr>
          <w:rFonts w:hint="eastAsia" w:ascii="仿宋_GB2312" w:hAnsi="微软雅黑" w:eastAsia="仿宋_GB2312" w:cs="微软雅黑"/>
          <w:bCs/>
          <w:color w:val="000000"/>
          <w:kern w:val="0"/>
          <w:sz w:val="32"/>
          <w:szCs w:val="32"/>
          <w:lang w:val="en-US" w:eastAsia="zh-CN"/>
        </w:rPr>
        <w:t>2023年</w:t>
      </w:r>
      <w:r>
        <w:rPr>
          <w:rFonts w:hint="eastAsia" w:ascii="仿宋_GB2312" w:hAnsi="微软雅黑" w:eastAsia="仿宋_GB2312" w:cs="微软雅黑"/>
          <w:bCs/>
          <w:color w:val="000000"/>
          <w:kern w:val="0"/>
          <w:sz w:val="32"/>
          <w:szCs w:val="32"/>
          <w:lang w:eastAsia="zh-CN"/>
        </w:rPr>
        <w:t>根据</w:t>
      </w:r>
      <w:r>
        <w:rPr>
          <w:rFonts w:hint="eastAsia" w:ascii="仿宋_GB2312" w:hAnsi="微软雅黑" w:eastAsia="仿宋_GB2312" w:cs="微软雅黑"/>
          <w:bCs/>
          <w:color w:val="000000"/>
          <w:kern w:val="0"/>
          <w:sz w:val="32"/>
          <w:szCs w:val="32"/>
        </w:rPr>
        <w:t>上海市、浦东新区关于全面推进政务公开工作的部署</w:t>
      </w:r>
      <w:r>
        <w:rPr>
          <w:rFonts w:hint="eastAsia" w:ascii="仿宋_GB2312" w:hAnsi="微软雅黑" w:eastAsia="仿宋_GB2312" w:cs="微软雅黑"/>
          <w:bCs/>
          <w:color w:val="000000"/>
          <w:kern w:val="0"/>
          <w:sz w:val="32"/>
          <w:szCs w:val="32"/>
          <w:lang w:eastAsia="zh-CN"/>
        </w:rPr>
        <w:t>，</w:t>
      </w:r>
      <w:r>
        <w:rPr>
          <w:rFonts w:hint="eastAsia" w:ascii="仿宋_GB2312" w:hAnsi="微软雅黑" w:eastAsia="仿宋_GB2312" w:cs="微软雅黑"/>
          <w:bCs/>
          <w:color w:val="000000"/>
          <w:kern w:val="0"/>
          <w:sz w:val="32"/>
          <w:szCs w:val="32"/>
        </w:rPr>
        <w:t>全面贯彻落实《202</w:t>
      </w:r>
      <w:r>
        <w:rPr>
          <w:rFonts w:hint="eastAsia" w:ascii="仿宋_GB2312" w:hAnsi="微软雅黑" w:eastAsia="仿宋_GB2312" w:cs="微软雅黑"/>
          <w:bCs/>
          <w:color w:val="000000"/>
          <w:kern w:val="0"/>
          <w:sz w:val="32"/>
          <w:szCs w:val="32"/>
          <w:lang w:val="en-US" w:eastAsia="zh-CN"/>
        </w:rPr>
        <w:t>3</w:t>
      </w:r>
      <w:r>
        <w:rPr>
          <w:rFonts w:hint="eastAsia" w:ascii="仿宋_GB2312" w:hAnsi="微软雅黑" w:eastAsia="仿宋_GB2312" w:cs="微软雅黑"/>
          <w:bCs/>
          <w:color w:val="000000"/>
          <w:kern w:val="0"/>
          <w:sz w:val="32"/>
          <w:szCs w:val="32"/>
        </w:rPr>
        <w:t>年浦东新区政务公开工作要点》，</w:t>
      </w:r>
      <w:r>
        <w:rPr>
          <w:rFonts w:hint="eastAsia" w:ascii="仿宋_GB2312" w:hAnsi="微软雅黑" w:eastAsia="仿宋_GB2312" w:cs="微软雅黑"/>
          <w:bCs/>
          <w:color w:val="000000"/>
          <w:kern w:val="0"/>
          <w:sz w:val="32"/>
          <w:szCs w:val="32"/>
          <w:lang w:eastAsia="zh-CN"/>
        </w:rPr>
        <w:t>多方位</w:t>
      </w:r>
      <w:r>
        <w:rPr>
          <w:rFonts w:hint="eastAsia" w:ascii="仿宋_GB2312" w:hAnsi="微软雅黑" w:eastAsia="仿宋_GB2312" w:cs="微软雅黑"/>
          <w:bCs/>
          <w:color w:val="000000"/>
          <w:kern w:val="0"/>
          <w:sz w:val="32"/>
          <w:szCs w:val="32"/>
        </w:rPr>
        <w:t>提升政务公开的标准化规范化水平。及时更新门户网站</w:t>
      </w:r>
      <w:r>
        <w:rPr>
          <w:rFonts w:hint="eastAsia" w:ascii="仿宋_GB2312" w:hAnsi="微软雅黑" w:eastAsia="仿宋_GB2312" w:cs="微软雅黑"/>
          <w:bCs/>
          <w:color w:val="000000"/>
          <w:kern w:val="0"/>
          <w:sz w:val="32"/>
          <w:szCs w:val="32"/>
          <w:lang w:val="en-US" w:eastAsia="zh-CN"/>
        </w:rPr>
        <w:t>专栏</w:t>
      </w:r>
      <w:r>
        <w:rPr>
          <w:rFonts w:hint="eastAsia" w:ascii="仿宋_GB2312" w:hAnsi="微软雅黑" w:eastAsia="仿宋_GB2312" w:cs="微软雅黑"/>
          <w:bCs/>
          <w:color w:val="000000"/>
          <w:kern w:val="0"/>
          <w:sz w:val="32"/>
          <w:szCs w:val="32"/>
        </w:rPr>
        <w:t>，创新政策解读形式</w:t>
      </w:r>
      <w:r>
        <w:rPr>
          <w:rFonts w:hint="eastAsia" w:ascii="仿宋_GB2312" w:hAnsi="微软雅黑" w:eastAsia="仿宋_GB2312" w:cs="微软雅黑"/>
          <w:bCs/>
          <w:color w:val="000000"/>
          <w:kern w:val="0"/>
          <w:sz w:val="32"/>
          <w:szCs w:val="32"/>
          <w:lang w:eastAsia="zh-CN"/>
        </w:rPr>
        <w:t>，</w:t>
      </w:r>
      <w:r>
        <w:rPr>
          <w:rFonts w:hint="eastAsia" w:ascii="仿宋_GB2312" w:hAnsi="微软雅黑" w:eastAsia="仿宋_GB2312" w:cs="微软雅黑"/>
          <w:bCs/>
          <w:color w:val="000000"/>
          <w:kern w:val="0"/>
          <w:sz w:val="32"/>
          <w:szCs w:val="32"/>
          <w:lang w:val="en-US" w:eastAsia="zh-CN"/>
        </w:rPr>
        <w:t>完善政务公开平台，并积极</w:t>
      </w:r>
      <w:r>
        <w:rPr>
          <w:rFonts w:hint="eastAsia" w:ascii="仿宋_GB2312" w:hAnsi="微软雅黑" w:eastAsia="仿宋_GB2312" w:cs="微软雅黑"/>
          <w:bCs/>
          <w:color w:val="000000"/>
          <w:kern w:val="0"/>
          <w:sz w:val="32"/>
          <w:szCs w:val="32"/>
        </w:rPr>
        <w:t>开展以“走进社区事务受理服务中心，感受</w:t>
      </w:r>
      <w:r>
        <w:rPr>
          <w:rFonts w:hint="eastAsia" w:ascii="仿宋_GB2312" w:hAnsi="微软雅黑" w:eastAsia="仿宋_GB2312" w:cs="微软雅黑"/>
          <w:bCs/>
          <w:color w:val="000000"/>
          <w:kern w:val="0"/>
          <w:sz w:val="32"/>
          <w:szCs w:val="32"/>
          <w:lang w:eastAsia="zh-CN"/>
        </w:rPr>
        <w:t>‘</w:t>
      </w:r>
      <w:r>
        <w:rPr>
          <w:rFonts w:hint="eastAsia" w:ascii="仿宋_GB2312" w:hAnsi="微软雅黑" w:eastAsia="仿宋_GB2312" w:cs="微软雅黑"/>
          <w:bCs/>
          <w:color w:val="000000"/>
          <w:kern w:val="0"/>
          <w:sz w:val="32"/>
          <w:szCs w:val="32"/>
        </w:rPr>
        <w:t>一网通办</w:t>
      </w:r>
      <w:r>
        <w:rPr>
          <w:rFonts w:hint="eastAsia" w:ascii="仿宋_GB2312" w:hAnsi="微软雅黑" w:eastAsia="仿宋_GB2312" w:cs="微软雅黑"/>
          <w:bCs/>
          <w:color w:val="000000"/>
          <w:kern w:val="0"/>
          <w:sz w:val="32"/>
          <w:szCs w:val="32"/>
          <w:lang w:eastAsia="zh-CN"/>
        </w:rPr>
        <w:t>’</w:t>
      </w:r>
      <w:r>
        <w:rPr>
          <w:rFonts w:hint="eastAsia" w:ascii="仿宋_GB2312" w:hAnsi="微软雅黑" w:eastAsia="仿宋_GB2312" w:cs="微软雅黑"/>
          <w:bCs/>
          <w:color w:val="000000"/>
          <w:kern w:val="0"/>
          <w:sz w:val="32"/>
          <w:szCs w:val="32"/>
        </w:rPr>
        <w:t>”为主题的政府开放日活动，通过“线上意见征询”和“线下问卷调查”相结合的方式，增强公众参与力度，回应社会关切</w:t>
      </w:r>
      <w:r>
        <w:rPr>
          <w:rFonts w:hint="eastAsia" w:ascii="仿宋_GB2312" w:hAnsi="微软雅黑" w:eastAsia="仿宋_GB2312" w:cs="微软雅黑"/>
          <w:bCs/>
          <w:color w:val="000000"/>
          <w:kern w:val="0"/>
          <w:sz w:val="32"/>
          <w:szCs w:val="32"/>
          <w:lang w:eastAsia="zh-CN"/>
        </w:rPr>
        <w:t>，</w:t>
      </w:r>
      <w:r>
        <w:rPr>
          <w:rFonts w:hint="eastAsia" w:ascii="仿宋_GB2312" w:hAnsi="微软雅黑" w:eastAsia="仿宋_GB2312" w:cs="微软雅黑"/>
          <w:bCs/>
          <w:color w:val="000000"/>
          <w:kern w:val="0"/>
          <w:sz w:val="32"/>
          <w:szCs w:val="32"/>
        </w:rPr>
        <w:t>切实推进阳光、透明、开放、服务型政府建设</w:t>
      </w:r>
      <w:r>
        <w:rPr>
          <w:rFonts w:hint="eastAsia" w:ascii="仿宋_GB2312" w:hAnsi="微软雅黑" w:eastAsia="仿宋_GB2312" w:cs="微软雅黑"/>
          <w:bCs/>
          <w:color w:val="000000"/>
          <w:kern w:val="0"/>
          <w:sz w:val="32"/>
          <w:szCs w:val="32"/>
          <w:lang w:eastAsia="zh-CN"/>
        </w:rPr>
        <w:t>，进一步强化政民互动</w:t>
      </w:r>
      <w:r>
        <w:rPr>
          <w:rFonts w:hint="eastAsia" w:ascii="仿宋_GB2312" w:hAnsi="微软雅黑" w:eastAsia="仿宋_GB2312" w:cs="微软雅黑"/>
          <w:bCs/>
          <w:color w:val="000000"/>
          <w:kern w:val="0"/>
          <w:sz w:val="32"/>
          <w:szCs w:val="32"/>
        </w:rPr>
        <w:t>。按照《国务院办公厅关于印发〈政府信息公开信息处理费管理办法〉的通知》（国办函〔2020〕109号）规定的按件、按量收费标准，本年度未收取信息公开处理费。</w:t>
      </w:r>
    </w:p>
    <w:p>
      <w:pPr>
        <w:pStyle w:val="2"/>
        <w:rPr>
          <w:rFonts w:hint="eastAsia" w:ascii="仿宋_GB2312" w:hAnsi="微软雅黑" w:eastAsia="仿宋_GB2312" w:cs="微软雅黑"/>
          <w:bCs/>
          <w:color w:val="000000"/>
          <w:kern w:val="0"/>
          <w:sz w:val="32"/>
          <w:szCs w:val="32"/>
        </w:rPr>
      </w:pPr>
    </w:p>
    <w:p>
      <w:pPr>
        <w:pStyle w:val="2"/>
        <w:rPr>
          <w:rFonts w:hint="eastAsia"/>
        </w:rPr>
      </w:pPr>
    </w:p>
    <w:p>
      <w:pPr>
        <w:widowControl/>
        <w:spacing w:line="560" w:lineRule="exact"/>
        <w:ind w:firstLine="640" w:firstLineChars="200"/>
        <w:rPr>
          <w:rFonts w:hint="eastAsia" w:ascii="仿宋_GB2312" w:hAnsi="微软雅黑" w:eastAsia="仿宋_GB2312" w:cs="微软雅黑"/>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left"/>
        <w:textAlignment w:val="auto"/>
        <w:outlineLvl w:val="0"/>
        <w:rPr>
          <w:rFonts w:hint="eastAsia" w:ascii="宋体" w:hAnsi="宋体" w:cs="微软雅黑"/>
          <w:b w:val="0"/>
          <w:bCs/>
          <w:color w:val="000000"/>
          <w:kern w:val="0"/>
          <w:sz w:val="44"/>
          <w:szCs w:val="4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6E7FA"/>
    <w:multiLevelType w:val="singleLevel"/>
    <w:tmpl w:val="6566E7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ZDc3Njk2Mjk1YzBkYTdmMDUxYmMwMDQxODA5MmIifQ=="/>
  </w:docVars>
  <w:rsids>
    <w:rsidRoot w:val="33D37477"/>
    <w:rsid w:val="031165F1"/>
    <w:rsid w:val="04172B32"/>
    <w:rsid w:val="0A414F9B"/>
    <w:rsid w:val="0B6E3416"/>
    <w:rsid w:val="12AF799F"/>
    <w:rsid w:val="14855D9F"/>
    <w:rsid w:val="14E15820"/>
    <w:rsid w:val="1EF75F20"/>
    <w:rsid w:val="20F85F56"/>
    <w:rsid w:val="26C525C2"/>
    <w:rsid w:val="283929D2"/>
    <w:rsid w:val="2A340918"/>
    <w:rsid w:val="2AD1053D"/>
    <w:rsid w:val="2F1F6DA3"/>
    <w:rsid w:val="33D37477"/>
    <w:rsid w:val="34703508"/>
    <w:rsid w:val="38092C35"/>
    <w:rsid w:val="3F586B58"/>
    <w:rsid w:val="404E573A"/>
    <w:rsid w:val="46564333"/>
    <w:rsid w:val="477A08FC"/>
    <w:rsid w:val="48AF18EA"/>
    <w:rsid w:val="4E5B174E"/>
    <w:rsid w:val="4F2F06D3"/>
    <w:rsid w:val="53EF3AFC"/>
    <w:rsid w:val="55735625"/>
    <w:rsid w:val="561455C8"/>
    <w:rsid w:val="5ADF597E"/>
    <w:rsid w:val="5E7D3415"/>
    <w:rsid w:val="5F3C4C84"/>
    <w:rsid w:val="636649C5"/>
    <w:rsid w:val="66352BF9"/>
    <w:rsid w:val="6F7E4E45"/>
    <w:rsid w:val="77B3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unhideWhenUsed/>
    <w:qFormat/>
    <w:uiPriority w:val="39"/>
    <w:pPr>
      <w:widowControl w:val="0"/>
      <w:spacing w:line="600" w:lineRule="exact"/>
      <w:ind w:firstLine="640" w:firstLineChars="200"/>
      <w:jc w:val="left"/>
    </w:pPr>
    <w:rPr>
      <w:rFonts w:ascii="楷体_GB2312" w:hAnsi="楷体" w:eastAsia="楷体_GB2312" w:cs="仿宋"/>
      <w:kern w:val="2"/>
      <w:sz w:val="32"/>
      <w:szCs w:val="32"/>
      <w:lang w:val="en-US" w:eastAsia="zh-CN" w:bidi="ar-SA"/>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spacing w:before="100" w:beforeAutospacing="1" w:after="100" w:afterAutospacing="1"/>
      <w:jc w:val="left"/>
    </w:pPr>
    <w:rPr>
      <w:kern w:val="0"/>
      <w:sz w:val="24"/>
      <w:szCs w:val="24"/>
    </w:rPr>
  </w:style>
  <w:style w:type="paragraph" w:styleId="8">
    <w:name w:val="List Paragraph"/>
    <w:basedOn w:val="1"/>
    <w:autoRedefine/>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2024-01-15T02:46:00Z</dcterms:created>
  <dc:creator>坑</dc:creator>
  <cp:lastModifiedBy>坑</cp:lastModifiedBy>
  <dcterms:modified xsi:type="dcterms:W3CDTF">2024-01-24T00:55:31Z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8896D78AE9AC49759B630E4430FB23DB_11</vt:lpwstr>
  </property>
</Properties>
</file>