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15" w:rsidRDefault="00D07CDF">
      <w:pPr>
        <w:adjustRightInd w:val="0"/>
        <w:snapToGrid w:val="0"/>
        <w:spacing w:line="560" w:lineRule="exact"/>
        <w:ind w:firstLineChars="300" w:firstLine="1296"/>
        <w:rPr>
          <w:rFonts w:eastAsia="方正小标宋简体"/>
          <w:snapToGrid w:val="0"/>
          <w:spacing w:val="-4"/>
          <w:kern w:val="0"/>
          <w:sz w:val="44"/>
          <w:szCs w:val="44"/>
        </w:rPr>
      </w:pPr>
      <w:r>
        <w:rPr>
          <w:rFonts w:eastAsia="方正小标宋简体"/>
          <w:snapToGrid w:val="0"/>
          <w:spacing w:val="-4"/>
          <w:kern w:val="0"/>
          <w:sz w:val="44"/>
          <w:szCs w:val="44"/>
        </w:rPr>
        <w:t>浦东新区</w:t>
      </w:r>
      <w:r>
        <w:rPr>
          <w:rFonts w:eastAsia="方正小标宋简体" w:hint="eastAsia"/>
          <w:snapToGrid w:val="0"/>
          <w:spacing w:val="-4"/>
          <w:kern w:val="0"/>
          <w:sz w:val="44"/>
          <w:szCs w:val="44"/>
        </w:rPr>
        <w:t>地方</w:t>
      </w:r>
      <w:r>
        <w:rPr>
          <w:rFonts w:eastAsia="方正小标宋简体"/>
          <w:snapToGrid w:val="0"/>
          <w:spacing w:val="-4"/>
          <w:kern w:val="0"/>
          <w:sz w:val="44"/>
          <w:szCs w:val="44"/>
        </w:rPr>
        <w:t>金融</w:t>
      </w:r>
      <w:r>
        <w:rPr>
          <w:rFonts w:eastAsia="方正小标宋简体" w:hint="eastAsia"/>
          <w:snapToGrid w:val="0"/>
          <w:spacing w:val="-4"/>
          <w:kern w:val="0"/>
          <w:sz w:val="44"/>
          <w:szCs w:val="44"/>
        </w:rPr>
        <w:t>管理</w:t>
      </w:r>
      <w:r>
        <w:rPr>
          <w:rFonts w:eastAsia="方正小标宋简体"/>
          <w:snapToGrid w:val="0"/>
          <w:spacing w:val="-4"/>
          <w:kern w:val="0"/>
          <w:sz w:val="44"/>
          <w:szCs w:val="44"/>
        </w:rPr>
        <w:t>局</w:t>
      </w:r>
      <w:r>
        <w:rPr>
          <w:rFonts w:eastAsia="方正小标宋简体"/>
          <w:snapToGrid w:val="0"/>
          <w:spacing w:val="-4"/>
          <w:kern w:val="0"/>
          <w:sz w:val="44"/>
          <w:szCs w:val="44"/>
        </w:rPr>
        <w:t>2024</w:t>
      </w:r>
      <w:r>
        <w:rPr>
          <w:rFonts w:eastAsia="方正小标宋简体"/>
          <w:snapToGrid w:val="0"/>
          <w:spacing w:val="-4"/>
          <w:kern w:val="0"/>
          <w:sz w:val="44"/>
          <w:szCs w:val="44"/>
        </w:rPr>
        <w:t>年度</w:t>
      </w:r>
    </w:p>
    <w:p w:rsidR="00040515" w:rsidRDefault="00D07CDF">
      <w:pPr>
        <w:adjustRightInd w:val="0"/>
        <w:snapToGrid w:val="0"/>
        <w:spacing w:line="560" w:lineRule="exact"/>
        <w:jc w:val="center"/>
        <w:rPr>
          <w:rFonts w:eastAsia="方正小标宋简体"/>
          <w:snapToGrid w:val="0"/>
          <w:spacing w:val="-4"/>
          <w:kern w:val="0"/>
          <w:sz w:val="44"/>
          <w:szCs w:val="44"/>
        </w:rPr>
      </w:pPr>
      <w:r>
        <w:rPr>
          <w:rFonts w:eastAsia="方正小标宋简体"/>
          <w:snapToGrid w:val="0"/>
          <w:spacing w:val="-4"/>
          <w:kern w:val="0"/>
          <w:sz w:val="44"/>
          <w:szCs w:val="44"/>
        </w:rPr>
        <w:t>法治政府建设情况报告</w:t>
      </w:r>
    </w:p>
    <w:p w:rsidR="00040515" w:rsidRDefault="00040515">
      <w:pPr>
        <w:adjustRightInd w:val="0"/>
        <w:snapToGrid w:val="0"/>
        <w:spacing w:line="560" w:lineRule="exact"/>
        <w:jc w:val="center"/>
        <w:rPr>
          <w:rFonts w:eastAsia="方正小标宋简体"/>
          <w:snapToGrid w:val="0"/>
          <w:spacing w:val="-4"/>
          <w:kern w:val="0"/>
          <w:sz w:val="44"/>
          <w:szCs w:val="44"/>
        </w:rPr>
      </w:pPr>
      <w:bookmarkStart w:id="0" w:name="_GoBack"/>
      <w:bookmarkEnd w:id="0"/>
    </w:p>
    <w:p w:rsidR="00040515" w:rsidRDefault="00D07CDF">
      <w:pPr>
        <w:spacing w:line="560" w:lineRule="exact"/>
        <w:jc w:val="center"/>
        <w:rPr>
          <w:rFonts w:eastAsia="仿宋_GB2312"/>
          <w:sz w:val="32"/>
          <w:szCs w:val="32"/>
        </w:rPr>
      </w:pPr>
      <w:r>
        <w:rPr>
          <w:rFonts w:eastAsia="仿宋_GB2312"/>
          <w:sz w:val="32"/>
          <w:szCs w:val="32"/>
        </w:rPr>
        <w:t xml:space="preserve">引　</w:t>
      </w:r>
      <w:r>
        <w:rPr>
          <w:rFonts w:eastAsia="仿宋_GB2312"/>
          <w:sz w:val="32"/>
          <w:szCs w:val="32"/>
        </w:rPr>
        <w:t xml:space="preserve"> </w:t>
      </w:r>
      <w:r>
        <w:rPr>
          <w:rFonts w:eastAsia="仿宋_GB2312"/>
          <w:sz w:val="32"/>
          <w:szCs w:val="32"/>
        </w:rPr>
        <w:t>言</w:t>
      </w:r>
    </w:p>
    <w:p w:rsidR="00040515" w:rsidRDefault="00040515">
      <w:pPr>
        <w:spacing w:line="560" w:lineRule="exact"/>
        <w:rPr>
          <w:rFonts w:eastAsia="仿宋_GB2312"/>
          <w:sz w:val="32"/>
          <w:szCs w:val="32"/>
        </w:rPr>
      </w:pPr>
    </w:p>
    <w:p w:rsidR="00040515" w:rsidRDefault="00D07CDF">
      <w:pPr>
        <w:spacing w:line="560" w:lineRule="exact"/>
        <w:ind w:firstLineChars="200" w:firstLine="640"/>
        <w:rPr>
          <w:rFonts w:eastAsia="仿宋_GB2312"/>
          <w:sz w:val="32"/>
          <w:szCs w:val="32"/>
        </w:rPr>
      </w:pPr>
      <w:r>
        <w:rPr>
          <w:rFonts w:eastAsia="仿宋_GB2312"/>
          <w:sz w:val="32"/>
          <w:szCs w:val="32"/>
        </w:rPr>
        <w:t>本年度报告根据中共中央、国务院《法治政府建设实施纲要（</w:t>
      </w:r>
      <w:r>
        <w:rPr>
          <w:rFonts w:eastAsia="仿宋_GB2312"/>
          <w:sz w:val="32"/>
          <w:szCs w:val="32"/>
        </w:rPr>
        <w:t>2021-2025</w:t>
      </w:r>
      <w:r>
        <w:rPr>
          <w:rFonts w:eastAsia="仿宋_GB2312"/>
          <w:sz w:val="32"/>
          <w:szCs w:val="32"/>
        </w:rPr>
        <w:t>年）》《上海法治政府建设规划（</w:t>
      </w:r>
      <w:r>
        <w:rPr>
          <w:rFonts w:eastAsia="仿宋_GB2312"/>
          <w:sz w:val="32"/>
          <w:szCs w:val="32"/>
        </w:rPr>
        <w:t>2021-2025</w:t>
      </w:r>
      <w:r>
        <w:rPr>
          <w:rFonts w:eastAsia="仿宋_GB2312"/>
          <w:sz w:val="32"/>
          <w:szCs w:val="32"/>
        </w:rPr>
        <w:t>年）》和《浦东新区法治政府建设</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规划》的要求，由</w:t>
      </w:r>
      <w:r>
        <w:rPr>
          <w:rFonts w:eastAsia="仿宋_GB2312" w:hint="eastAsia"/>
          <w:sz w:val="32"/>
          <w:szCs w:val="32"/>
        </w:rPr>
        <w:t>浦东新区地方金融管理局</w:t>
      </w:r>
      <w:r>
        <w:rPr>
          <w:rFonts w:eastAsia="仿宋_GB2312"/>
          <w:sz w:val="32"/>
          <w:szCs w:val="32"/>
        </w:rPr>
        <w:t>编制。全文包括</w:t>
      </w:r>
      <w:r>
        <w:rPr>
          <w:rFonts w:eastAsia="仿宋_GB2312"/>
          <w:sz w:val="32"/>
          <w:szCs w:val="32"/>
        </w:rPr>
        <w:t>2024</w:t>
      </w:r>
      <w:r>
        <w:rPr>
          <w:rFonts w:eastAsia="仿宋_GB2312"/>
          <w:sz w:val="32"/>
          <w:szCs w:val="32"/>
        </w:rPr>
        <w:t>年度法治政府建设的主要工作及党政主要负责人履职情况、存在问题不足以及下阶段工作</w:t>
      </w:r>
      <w:r>
        <w:rPr>
          <w:rFonts w:eastAsia="仿宋_GB2312" w:hint="eastAsia"/>
          <w:sz w:val="32"/>
          <w:szCs w:val="32"/>
        </w:rPr>
        <w:t>计划</w:t>
      </w:r>
      <w:r>
        <w:rPr>
          <w:rFonts w:eastAsia="仿宋_GB2312"/>
          <w:sz w:val="32"/>
          <w:szCs w:val="32"/>
        </w:rPr>
        <w:t>。</w:t>
      </w:r>
      <w:r>
        <w:rPr>
          <w:rFonts w:eastAsia="仿宋_GB2312"/>
          <w:sz w:val="32"/>
          <w:szCs w:val="32"/>
        </w:rPr>
        <w:t>2024</w:t>
      </w:r>
      <w:r>
        <w:rPr>
          <w:rFonts w:eastAsia="仿宋_GB2312"/>
          <w:sz w:val="32"/>
          <w:szCs w:val="32"/>
        </w:rPr>
        <w:t>年度报告中所列数据的统计期限自</w:t>
      </w:r>
      <w:r>
        <w:rPr>
          <w:rFonts w:eastAsia="仿宋_GB2312"/>
          <w:sz w:val="32"/>
          <w:szCs w:val="32"/>
        </w:rPr>
        <w:t>2024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日起至</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日止。</w:t>
      </w:r>
    </w:p>
    <w:p w:rsidR="00040515" w:rsidRDefault="00040515">
      <w:pPr>
        <w:spacing w:line="560" w:lineRule="exact"/>
        <w:rPr>
          <w:rFonts w:eastAsia="仿宋_GB2312"/>
          <w:sz w:val="32"/>
          <w:szCs w:val="32"/>
        </w:rPr>
      </w:pPr>
    </w:p>
    <w:p w:rsidR="00040515" w:rsidRDefault="00040515">
      <w:pPr>
        <w:spacing w:line="560" w:lineRule="exact"/>
        <w:rPr>
          <w:rFonts w:eastAsia="仿宋_GB2312"/>
          <w:sz w:val="32"/>
          <w:szCs w:val="32"/>
        </w:rPr>
      </w:pPr>
    </w:p>
    <w:p w:rsidR="00040515" w:rsidRDefault="00040515">
      <w:pPr>
        <w:spacing w:line="560" w:lineRule="exact"/>
        <w:rPr>
          <w:rFonts w:eastAsia="仿宋_GB2312"/>
          <w:sz w:val="32"/>
          <w:szCs w:val="32"/>
        </w:rPr>
      </w:pPr>
    </w:p>
    <w:p w:rsidR="00040515" w:rsidRDefault="00040515">
      <w:pPr>
        <w:spacing w:line="560" w:lineRule="exact"/>
        <w:rPr>
          <w:rFonts w:eastAsia="仿宋_GB2312"/>
          <w:sz w:val="32"/>
          <w:szCs w:val="32"/>
        </w:rPr>
      </w:pPr>
    </w:p>
    <w:p w:rsidR="00040515" w:rsidRDefault="00040515">
      <w:pPr>
        <w:spacing w:line="560" w:lineRule="exact"/>
        <w:rPr>
          <w:rFonts w:eastAsia="仿宋_GB2312"/>
          <w:sz w:val="32"/>
          <w:szCs w:val="32"/>
        </w:rPr>
      </w:pPr>
    </w:p>
    <w:p w:rsidR="00040515" w:rsidRDefault="00040515">
      <w:pPr>
        <w:adjustRightInd w:val="0"/>
        <w:snapToGrid w:val="0"/>
        <w:spacing w:line="560" w:lineRule="exact"/>
        <w:jc w:val="center"/>
        <w:rPr>
          <w:rFonts w:eastAsia="方正小标宋简体"/>
          <w:snapToGrid w:val="0"/>
          <w:spacing w:val="-4"/>
          <w:kern w:val="0"/>
          <w:sz w:val="44"/>
          <w:szCs w:val="44"/>
        </w:rPr>
      </w:pPr>
    </w:p>
    <w:p w:rsidR="00040515" w:rsidRDefault="00040515">
      <w:pPr>
        <w:adjustRightInd w:val="0"/>
        <w:snapToGrid w:val="0"/>
        <w:spacing w:line="560" w:lineRule="exact"/>
        <w:jc w:val="center"/>
        <w:rPr>
          <w:rFonts w:eastAsia="方正小标宋简体"/>
          <w:snapToGrid w:val="0"/>
          <w:spacing w:val="-4"/>
          <w:kern w:val="0"/>
          <w:sz w:val="44"/>
          <w:szCs w:val="44"/>
        </w:rPr>
      </w:pPr>
    </w:p>
    <w:p w:rsidR="00040515" w:rsidRDefault="00040515">
      <w:pPr>
        <w:adjustRightInd w:val="0"/>
        <w:snapToGrid w:val="0"/>
        <w:spacing w:line="560" w:lineRule="exact"/>
        <w:rPr>
          <w:rFonts w:eastAsia="仿宋_GB2312"/>
          <w:snapToGrid w:val="0"/>
          <w:spacing w:val="-4"/>
          <w:kern w:val="0"/>
          <w:sz w:val="32"/>
          <w:szCs w:val="32"/>
        </w:rPr>
      </w:pPr>
    </w:p>
    <w:p w:rsidR="00040515" w:rsidRDefault="00040515">
      <w:pPr>
        <w:spacing w:line="560" w:lineRule="exact"/>
        <w:ind w:firstLineChars="200" w:firstLine="640"/>
        <w:rPr>
          <w:rFonts w:eastAsia="仿宋_GB2312"/>
          <w:sz w:val="32"/>
          <w:szCs w:val="32"/>
        </w:rPr>
      </w:pPr>
    </w:p>
    <w:p w:rsidR="00040515" w:rsidRDefault="00040515">
      <w:pPr>
        <w:spacing w:line="560" w:lineRule="exact"/>
        <w:ind w:firstLineChars="200" w:firstLine="640"/>
        <w:rPr>
          <w:rFonts w:eastAsia="仿宋_GB2312"/>
          <w:sz w:val="32"/>
          <w:szCs w:val="32"/>
        </w:rPr>
      </w:pPr>
    </w:p>
    <w:p w:rsidR="00040515" w:rsidRDefault="00D07CDF">
      <w:pPr>
        <w:spacing w:line="560" w:lineRule="exact"/>
        <w:ind w:firstLineChars="200" w:firstLine="640"/>
        <w:rPr>
          <w:rFonts w:eastAsia="仿宋_GB2312"/>
          <w:sz w:val="32"/>
          <w:szCs w:val="32"/>
        </w:rPr>
      </w:pPr>
      <w:r>
        <w:rPr>
          <w:rFonts w:eastAsia="仿宋_GB2312"/>
          <w:sz w:val="32"/>
          <w:szCs w:val="32"/>
        </w:rPr>
        <w:lastRenderedPageBreak/>
        <w:t>2024</w:t>
      </w:r>
      <w:r>
        <w:rPr>
          <w:rFonts w:eastAsia="仿宋_GB2312"/>
          <w:sz w:val="32"/>
          <w:szCs w:val="32"/>
        </w:rPr>
        <w:t>年是全面贯彻落实党的二十大精神、推进落实</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规划的关键一年，区地方金融管理局在区委、区政府的坚强领导下，在区人大、区政协的监督支持下，在区依法治区办的具体指导下，紧紧围绕浦东金融高质量发展，认真落实</w:t>
      </w:r>
      <w:r>
        <w:rPr>
          <w:rFonts w:eastAsia="仿宋_GB2312"/>
          <w:sz w:val="32"/>
          <w:szCs w:val="32"/>
        </w:rPr>
        <w:t>中共</w:t>
      </w:r>
      <w:r>
        <w:rPr>
          <w:rFonts w:eastAsia="仿宋_GB2312"/>
          <w:sz w:val="32"/>
          <w:szCs w:val="32"/>
        </w:rPr>
        <w:t>中央、</w:t>
      </w:r>
      <w:r>
        <w:rPr>
          <w:rFonts w:eastAsia="仿宋_GB2312"/>
          <w:sz w:val="32"/>
          <w:szCs w:val="32"/>
        </w:rPr>
        <w:t>国务院、</w:t>
      </w:r>
      <w:r>
        <w:rPr>
          <w:rFonts w:eastAsia="仿宋_GB2312"/>
          <w:sz w:val="32"/>
          <w:szCs w:val="32"/>
        </w:rPr>
        <w:t>市委市政府、区委区政府等一系列关于法治工作的决策部署，坚持用法治理念凝聚共识、用法治手段推动发展、用法治方式解决问题，为浦东打造更具影响力、更具竞争力的国际金融中心核心区提供坚实的法治保障。现将相关工作情况报告如下：</w:t>
      </w:r>
    </w:p>
    <w:p w:rsidR="00040515" w:rsidRDefault="00D07CDF">
      <w:pPr>
        <w:pStyle w:val="3"/>
        <w:spacing w:line="560" w:lineRule="exact"/>
        <w:rPr>
          <w:rFonts w:ascii="Times New Roman" w:eastAsia="黑体" w:hAnsi="Times New Roman" w:cs="Times New Roman"/>
        </w:rPr>
      </w:pPr>
      <w:r>
        <w:rPr>
          <w:rFonts w:ascii="Times New Roman" w:eastAsia="黑体" w:hAnsi="Times New Roman" w:cs="Times New Roman"/>
        </w:rPr>
        <w:t>一、主要工作及党政主要负责人履职情况</w:t>
      </w:r>
    </w:p>
    <w:p w:rsidR="00040515" w:rsidRDefault="00D07CDF">
      <w:pPr>
        <w:tabs>
          <w:tab w:val="left" w:pos="774"/>
        </w:tabs>
        <w:snapToGrid w:val="0"/>
        <w:spacing w:line="600" w:lineRule="exact"/>
        <w:ind w:firstLineChars="200" w:firstLine="643"/>
        <w:outlineLvl w:val="0"/>
        <w:rPr>
          <w:rFonts w:eastAsia="楷体_GB2312"/>
          <w:b/>
          <w:bCs/>
          <w:sz w:val="32"/>
          <w:szCs w:val="32"/>
          <w:lang w:val="zh-CN"/>
        </w:rPr>
      </w:pPr>
      <w:r>
        <w:rPr>
          <w:rFonts w:eastAsia="楷体_GB2312" w:hint="eastAsia"/>
          <w:b/>
          <w:bCs/>
          <w:sz w:val="32"/>
          <w:szCs w:val="32"/>
          <w:lang w:val="zh-CN"/>
        </w:rPr>
        <w:t>（一）</w:t>
      </w:r>
      <w:bookmarkStart w:id="1" w:name="OLE_LINK159"/>
      <w:bookmarkStart w:id="2" w:name="OLE_LINK158"/>
      <w:bookmarkStart w:id="3" w:name="OLE_LINK174"/>
      <w:r>
        <w:rPr>
          <w:rFonts w:eastAsia="楷体_GB2312"/>
          <w:b/>
          <w:bCs/>
          <w:sz w:val="32"/>
          <w:szCs w:val="32"/>
          <w:lang w:val="zh-CN"/>
        </w:rPr>
        <w:t>坚持学习宣传贯彻习近</w:t>
      </w:r>
      <w:r>
        <w:rPr>
          <w:rFonts w:eastAsia="楷体_GB2312"/>
          <w:b/>
          <w:bCs/>
          <w:sz w:val="32"/>
          <w:szCs w:val="32"/>
          <w:lang w:val="zh-CN"/>
        </w:rPr>
        <w:t>平法治思想</w:t>
      </w:r>
    </w:p>
    <w:p w:rsidR="00040515" w:rsidRDefault="00D07CDF">
      <w:pPr>
        <w:snapToGrid w:val="0"/>
        <w:spacing w:line="600" w:lineRule="exact"/>
        <w:ind w:firstLineChars="200" w:firstLine="640"/>
        <w:rPr>
          <w:rFonts w:eastAsia="仿宋_GB2312"/>
          <w:snapToGrid w:val="0"/>
          <w:spacing w:val="-4"/>
          <w:kern w:val="0"/>
          <w:sz w:val="32"/>
          <w:szCs w:val="32"/>
        </w:rPr>
      </w:pPr>
      <w:r>
        <w:rPr>
          <w:rFonts w:eastAsia="仿宋_GB2312"/>
          <w:sz w:val="32"/>
          <w:szCs w:val="32"/>
          <w:lang w:val="zh-CN"/>
        </w:rPr>
        <w:t>坚持把学习宣传贯彻习近平法治思想作为重要政治任务来抓，纳入法治宣传教育工作规划，并作为</w:t>
      </w:r>
      <w:r>
        <w:rPr>
          <w:rFonts w:eastAsia="仿宋_GB2312"/>
          <w:sz w:val="32"/>
          <w:szCs w:val="32"/>
          <w:lang w:val="zh-CN"/>
        </w:rPr>
        <w:t>2024</w:t>
      </w:r>
      <w:r>
        <w:rPr>
          <w:rFonts w:eastAsia="仿宋_GB2312"/>
          <w:sz w:val="32"/>
          <w:szCs w:val="32"/>
          <w:lang w:val="zh-CN"/>
        </w:rPr>
        <w:t>年区地方金融管理局法治建设责任制工作重点，明确列入区地方金融管理局层面</w:t>
      </w:r>
      <w:r>
        <w:rPr>
          <w:rFonts w:eastAsia="仿宋_GB2312"/>
          <w:sz w:val="32"/>
          <w:szCs w:val="32"/>
          <w:lang w:val="zh-CN"/>
        </w:rPr>
        <w:t>“</w:t>
      </w:r>
      <w:r>
        <w:rPr>
          <w:rFonts w:eastAsia="仿宋_GB2312"/>
          <w:sz w:val="32"/>
          <w:szCs w:val="32"/>
          <w:lang w:val="zh-CN"/>
        </w:rPr>
        <w:t>四个责任制</w:t>
      </w:r>
      <w:r>
        <w:rPr>
          <w:rFonts w:eastAsia="仿宋_GB2312"/>
          <w:sz w:val="32"/>
          <w:szCs w:val="32"/>
          <w:lang w:val="zh-CN"/>
        </w:rPr>
        <w:t>”</w:t>
      </w:r>
      <w:r>
        <w:rPr>
          <w:rFonts w:eastAsia="仿宋_GB2312"/>
          <w:sz w:val="32"/>
          <w:szCs w:val="32"/>
          <w:lang w:val="zh-CN"/>
        </w:rPr>
        <w:t>考核重要内容。</w:t>
      </w:r>
      <w:r>
        <w:rPr>
          <w:rFonts w:eastAsia="仿宋_GB2312"/>
          <w:b/>
          <w:bCs/>
          <w:sz w:val="32"/>
          <w:szCs w:val="32"/>
          <w:lang w:val="zh-CN"/>
        </w:rPr>
        <w:t>一</w:t>
      </w:r>
      <w:r>
        <w:rPr>
          <w:rFonts w:eastAsia="仿宋_GB2312"/>
          <w:b/>
          <w:bCs/>
          <w:sz w:val="32"/>
          <w:szCs w:val="32"/>
        </w:rPr>
        <w:t>是发挥领导干部关键少数作用。</w:t>
      </w:r>
      <w:r>
        <w:rPr>
          <w:rFonts w:eastAsia="仿宋_GB2312"/>
          <w:sz w:val="32"/>
          <w:szCs w:val="32"/>
          <w:lang w:val="zh-CN"/>
        </w:rPr>
        <w:t>区地方金融管理局</w:t>
      </w:r>
      <w:r>
        <w:rPr>
          <w:rFonts w:eastAsia="仿宋_GB2312"/>
          <w:snapToGrid w:val="0"/>
          <w:color w:val="000000"/>
          <w:spacing w:val="-4"/>
          <w:kern w:val="0"/>
          <w:sz w:val="32"/>
          <w:szCs w:val="32"/>
        </w:rPr>
        <w:t>主要负责人切实履行推进法治建设第一责任人职责，带头尊法学法守法用法，以法治体系建设和法治实践经验指导全局业务工作，</w:t>
      </w:r>
      <w:r>
        <w:rPr>
          <w:rFonts w:eastAsia="仿宋_GB2312"/>
          <w:sz w:val="32"/>
          <w:szCs w:val="32"/>
        </w:rPr>
        <w:t>把自己摆进去，把职责摆进去，把工作摆进去，充分发挥带学促学作用。</w:t>
      </w:r>
      <w:r>
        <w:rPr>
          <w:rFonts w:eastAsia="仿宋_GB2312"/>
          <w:b/>
          <w:bCs/>
          <w:sz w:val="32"/>
          <w:szCs w:val="32"/>
          <w:lang w:val="zh-CN"/>
        </w:rPr>
        <w:t>二是建立集体学习长效机制。</w:t>
      </w:r>
      <w:r>
        <w:rPr>
          <w:rFonts w:eastAsia="仿宋_GB2312"/>
          <w:snapToGrid w:val="0"/>
          <w:spacing w:val="-4"/>
          <w:kern w:val="0"/>
          <w:sz w:val="32"/>
          <w:szCs w:val="32"/>
        </w:rPr>
        <w:t>健全党委中心组学习习近平法治思想的常态化机制，</w:t>
      </w:r>
      <w:r>
        <w:rPr>
          <w:rFonts w:eastAsia="仿宋_GB2312"/>
          <w:snapToGrid w:val="0"/>
          <w:spacing w:val="-4"/>
          <w:kern w:val="0"/>
          <w:sz w:val="32"/>
          <w:szCs w:val="32"/>
        </w:rPr>
        <w:t>2024</w:t>
      </w:r>
      <w:r>
        <w:rPr>
          <w:rFonts w:eastAsia="仿宋_GB2312"/>
          <w:snapToGrid w:val="0"/>
          <w:spacing w:val="-4"/>
          <w:kern w:val="0"/>
          <w:sz w:val="32"/>
          <w:szCs w:val="32"/>
        </w:rPr>
        <w:t>年开展了两次专题学习活动。其中，上半年第</w:t>
      </w:r>
      <w:r>
        <w:rPr>
          <w:rFonts w:eastAsia="仿宋_GB2312"/>
          <w:snapToGrid w:val="0"/>
          <w:spacing w:val="-4"/>
          <w:kern w:val="0"/>
          <w:sz w:val="32"/>
          <w:szCs w:val="32"/>
        </w:rPr>
        <w:t>2</w:t>
      </w:r>
      <w:r>
        <w:rPr>
          <w:rFonts w:eastAsia="仿宋_GB2312"/>
          <w:snapToGrid w:val="0"/>
          <w:spacing w:val="-4"/>
          <w:kern w:val="0"/>
          <w:sz w:val="32"/>
          <w:szCs w:val="32"/>
        </w:rPr>
        <w:t>次中心组学习时，深入</w:t>
      </w:r>
      <w:r>
        <w:rPr>
          <w:rFonts w:eastAsia="仿宋_GB2312"/>
          <w:snapToGrid w:val="0"/>
          <w:spacing w:val="-4"/>
          <w:kern w:val="0"/>
          <w:sz w:val="32"/>
          <w:szCs w:val="32"/>
        </w:rPr>
        <w:lastRenderedPageBreak/>
        <w:t>研讨绿色金融法治工作；机构改革后第</w:t>
      </w:r>
      <w:r>
        <w:rPr>
          <w:rFonts w:eastAsia="仿宋_GB2312"/>
          <w:snapToGrid w:val="0"/>
          <w:spacing w:val="-4"/>
          <w:kern w:val="0"/>
          <w:sz w:val="32"/>
          <w:szCs w:val="32"/>
        </w:rPr>
        <w:t>3</w:t>
      </w:r>
      <w:r>
        <w:rPr>
          <w:rFonts w:eastAsia="仿宋_GB2312"/>
          <w:snapToGrid w:val="0"/>
          <w:spacing w:val="-4"/>
          <w:kern w:val="0"/>
          <w:sz w:val="32"/>
          <w:szCs w:val="32"/>
        </w:rPr>
        <w:t>次中心组学习活动，深入学习习近平关于改革法治的重要论述。</w:t>
      </w:r>
      <w:r>
        <w:rPr>
          <w:rFonts w:eastAsia="仿宋_GB2312"/>
          <w:b/>
          <w:bCs/>
          <w:sz w:val="32"/>
          <w:szCs w:val="32"/>
          <w:lang w:val="zh-CN"/>
        </w:rPr>
        <w:t>三是组织党员干部开展全覆盖系统学习培训。</w:t>
      </w:r>
      <w:r>
        <w:rPr>
          <w:rFonts w:eastAsia="仿宋_GB2312"/>
          <w:sz w:val="32"/>
          <w:szCs w:val="32"/>
        </w:rPr>
        <w:t>组织开展本单位工作人员参加违法违纪警示教育</w:t>
      </w:r>
      <w:r>
        <w:rPr>
          <w:rFonts w:eastAsia="仿宋_GB2312"/>
          <w:sz w:val="32"/>
          <w:szCs w:val="32"/>
        </w:rPr>
        <w:t>1</w:t>
      </w:r>
      <w:r>
        <w:rPr>
          <w:rFonts w:eastAsia="仿宋_GB2312"/>
          <w:sz w:val="32"/>
          <w:szCs w:val="32"/>
        </w:rPr>
        <w:t>次；组织开展本单位全体工作人员联合金融机构学习法规《上海市浦东新区促进绿色金融发展若干规定》</w:t>
      </w:r>
      <w:r>
        <w:rPr>
          <w:rFonts w:eastAsia="仿宋_GB2312"/>
          <w:sz w:val="32"/>
          <w:szCs w:val="32"/>
        </w:rPr>
        <w:t>1</w:t>
      </w:r>
      <w:r>
        <w:rPr>
          <w:rFonts w:eastAsia="仿宋_GB2312"/>
          <w:sz w:val="32"/>
          <w:szCs w:val="32"/>
        </w:rPr>
        <w:t>次。</w:t>
      </w:r>
      <w:r>
        <w:rPr>
          <w:rFonts w:eastAsia="仿宋_GB2312"/>
          <w:snapToGrid w:val="0"/>
          <w:spacing w:val="-4"/>
          <w:kern w:val="0"/>
          <w:sz w:val="32"/>
          <w:szCs w:val="32"/>
        </w:rPr>
        <w:t>此外，按照区层面安排，</w:t>
      </w:r>
      <w:r>
        <w:rPr>
          <w:rFonts w:eastAsia="仿宋_GB2312"/>
          <w:sz w:val="32"/>
          <w:szCs w:val="32"/>
          <w:lang w:val="zh-CN"/>
        </w:rPr>
        <w:t>区地方金融管理局</w:t>
      </w:r>
      <w:r>
        <w:rPr>
          <w:rFonts w:eastAsia="仿宋_GB2312"/>
          <w:snapToGrid w:val="0"/>
          <w:spacing w:val="-4"/>
          <w:kern w:val="0"/>
          <w:sz w:val="32"/>
          <w:szCs w:val="32"/>
        </w:rPr>
        <w:t>法治工作分管领导、法制干部积极参加依法治区专题培训、法治专项业务培训等。</w:t>
      </w:r>
    </w:p>
    <w:p w:rsidR="00040515" w:rsidRDefault="00D07CDF">
      <w:pPr>
        <w:tabs>
          <w:tab w:val="left" w:pos="774"/>
        </w:tabs>
        <w:snapToGrid w:val="0"/>
        <w:spacing w:line="600" w:lineRule="exact"/>
        <w:ind w:firstLineChars="200" w:firstLine="643"/>
        <w:outlineLvl w:val="0"/>
        <w:rPr>
          <w:rFonts w:eastAsia="楷体_GB2312"/>
          <w:b/>
          <w:bCs/>
          <w:sz w:val="32"/>
          <w:szCs w:val="32"/>
          <w:lang w:val="zh-CN"/>
        </w:rPr>
      </w:pPr>
      <w:r>
        <w:rPr>
          <w:rFonts w:eastAsia="楷体_GB2312"/>
          <w:b/>
          <w:bCs/>
          <w:sz w:val="32"/>
          <w:szCs w:val="32"/>
          <w:lang w:val="zh-CN"/>
        </w:rPr>
        <w:t>（二）坚持</w:t>
      </w:r>
      <w:r>
        <w:rPr>
          <w:rFonts w:eastAsia="楷体_GB2312"/>
          <w:b/>
          <w:bCs/>
          <w:sz w:val="32"/>
          <w:szCs w:val="32"/>
          <w:lang w:val="zh-CN"/>
        </w:rPr>
        <w:t>党对法治工作的统一领导</w:t>
      </w:r>
    </w:p>
    <w:p w:rsidR="00040515" w:rsidRDefault="00D07CDF">
      <w:pPr>
        <w:snapToGrid w:val="0"/>
        <w:spacing w:line="600" w:lineRule="exact"/>
        <w:ind w:firstLineChars="200" w:firstLine="624"/>
        <w:rPr>
          <w:rFonts w:eastAsia="仿宋_GB2312"/>
          <w:sz w:val="32"/>
          <w:szCs w:val="32"/>
        </w:rPr>
      </w:pPr>
      <w:r>
        <w:rPr>
          <w:rFonts w:eastAsia="仿宋_GB2312"/>
          <w:snapToGrid w:val="0"/>
          <w:spacing w:val="-4"/>
          <w:kern w:val="0"/>
          <w:sz w:val="32"/>
          <w:szCs w:val="32"/>
          <w:lang w:val="zh-CN"/>
        </w:rPr>
        <w:t>始终发挥党委对法治工作的统领作用，加强法治建设领导力量，统筹推进法治政府建设各项工作。</w:t>
      </w:r>
      <w:r>
        <w:rPr>
          <w:rFonts w:eastAsia="仿宋_GB2312"/>
          <w:b/>
          <w:bCs/>
          <w:snapToGrid w:val="0"/>
          <w:spacing w:val="-4"/>
          <w:kern w:val="0"/>
          <w:sz w:val="32"/>
          <w:szCs w:val="32"/>
          <w:lang w:val="zh-CN"/>
        </w:rPr>
        <w:t>组织架构上，</w:t>
      </w:r>
      <w:r>
        <w:rPr>
          <w:rFonts w:eastAsia="仿宋_GB2312"/>
          <w:sz w:val="32"/>
          <w:szCs w:val="32"/>
          <w:lang w:val="zh-CN"/>
        </w:rPr>
        <w:t>区地方金融管理局</w:t>
      </w:r>
      <w:r>
        <w:rPr>
          <w:rFonts w:eastAsia="仿宋_GB2312"/>
          <w:snapToGrid w:val="0"/>
          <w:spacing w:val="-4"/>
          <w:kern w:val="0"/>
          <w:sz w:val="32"/>
          <w:szCs w:val="32"/>
        </w:rPr>
        <w:t>主要负责人</w:t>
      </w:r>
      <w:r>
        <w:rPr>
          <w:rFonts w:eastAsia="仿宋_GB2312"/>
          <w:snapToGrid w:val="0"/>
          <w:color w:val="000000"/>
          <w:spacing w:val="-4"/>
          <w:kern w:val="0"/>
          <w:sz w:val="32"/>
          <w:szCs w:val="32"/>
        </w:rPr>
        <w:t>对法治政府建设重要工作亲自部署、亲自谋划，</w:t>
      </w:r>
      <w:r>
        <w:rPr>
          <w:rFonts w:eastAsia="仿宋_GB2312"/>
          <w:sz w:val="32"/>
          <w:szCs w:val="32"/>
        </w:rPr>
        <w:t>把履行推进法治建设第一责任职责情况列入年度述职报告；</w:t>
      </w:r>
      <w:r>
        <w:rPr>
          <w:rFonts w:eastAsia="仿宋_GB2312"/>
          <w:snapToGrid w:val="0"/>
          <w:color w:val="000000"/>
          <w:spacing w:val="-4"/>
          <w:kern w:val="0"/>
          <w:sz w:val="32"/>
          <w:szCs w:val="32"/>
        </w:rPr>
        <w:t>明确分管领导负责法治建设责任制的组织协调，其他</w:t>
      </w:r>
      <w:r>
        <w:rPr>
          <w:rFonts w:eastAsia="仿宋_GB2312"/>
          <w:snapToGrid w:val="0"/>
          <w:spacing w:val="-4"/>
          <w:kern w:val="0"/>
          <w:sz w:val="32"/>
          <w:szCs w:val="32"/>
        </w:rPr>
        <w:t>班子成员按业务条线协同配合。</w:t>
      </w:r>
      <w:r>
        <w:rPr>
          <w:rFonts w:eastAsia="仿宋_GB2312"/>
          <w:b/>
          <w:bCs/>
          <w:snapToGrid w:val="0"/>
          <w:spacing w:val="-4"/>
          <w:kern w:val="0"/>
          <w:sz w:val="32"/>
          <w:szCs w:val="32"/>
        </w:rPr>
        <w:t>工作机制上，</w:t>
      </w:r>
      <w:r>
        <w:rPr>
          <w:rFonts w:eastAsia="仿宋_GB2312"/>
          <w:snapToGrid w:val="0"/>
          <w:color w:val="000000"/>
          <w:spacing w:val="-4"/>
          <w:kern w:val="0"/>
          <w:sz w:val="32"/>
          <w:szCs w:val="32"/>
        </w:rPr>
        <w:t>结合机构调整，专门设立政研处（法规处）</w:t>
      </w:r>
      <w:r>
        <w:rPr>
          <w:rFonts w:eastAsia="仿宋_GB2312"/>
          <w:snapToGrid w:val="0"/>
          <w:spacing w:val="-4"/>
          <w:kern w:val="0"/>
          <w:sz w:val="32"/>
          <w:szCs w:val="32"/>
        </w:rPr>
        <w:t>负责具体执行和工作督办，</w:t>
      </w:r>
      <w:r>
        <w:rPr>
          <w:rFonts w:eastAsia="仿宋_GB2312"/>
          <w:snapToGrid w:val="0"/>
          <w:color w:val="000000"/>
          <w:spacing w:val="-4"/>
          <w:kern w:val="0"/>
          <w:sz w:val="32"/>
          <w:szCs w:val="32"/>
        </w:rPr>
        <w:t>将法治建设工作纳入年度工作计划，与全局中心工作同部署、同推进、同考核；制定</w:t>
      </w:r>
      <w:r>
        <w:rPr>
          <w:rFonts w:eastAsia="仿宋_GB2312"/>
          <w:snapToGrid w:val="0"/>
          <w:spacing w:val="-4"/>
          <w:kern w:val="0"/>
          <w:sz w:val="32"/>
          <w:szCs w:val="32"/>
          <w:lang w:val="zh-CN"/>
        </w:rPr>
        <w:t>《</w:t>
      </w:r>
      <w:r>
        <w:rPr>
          <w:rFonts w:eastAsia="仿宋_GB2312"/>
          <w:snapToGrid w:val="0"/>
          <w:spacing w:val="-4"/>
          <w:kern w:val="0"/>
          <w:sz w:val="32"/>
          <w:szCs w:val="32"/>
          <w:lang w:val="zh-CN"/>
        </w:rPr>
        <w:t>202</w:t>
      </w:r>
      <w:r>
        <w:rPr>
          <w:rFonts w:eastAsia="仿宋_GB2312"/>
          <w:snapToGrid w:val="0"/>
          <w:spacing w:val="-4"/>
          <w:kern w:val="0"/>
          <w:sz w:val="32"/>
          <w:szCs w:val="32"/>
        </w:rPr>
        <w:t>4</w:t>
      </w:r>
      <w:r>
        <w:rPr>
          <w:rFonts w:eastAsia="仿宋_GB2312"/>
          <w:snapToGrid w:val="0"/>
          <w:spacing w:val="-4"/>
          <w:kern w:val="0"/>
          <w:sz w:val="32"/>
          <w:szCs w:val="32"/>
          <w:lang w:val="zh-CN"/>
        </w:rPr>
        <w:t>年度法治建设工作责任制任务分解表》，</w:t>
      </w:r>
      <w:r>
        <w:rPr>
          <w:rFonts w:eastAsia="仿宋_GB2312"/>
          <w:snapToGrid w:val="0"/>
          <w:spacing w:val="-4"/>
          <w:kern w:val="0"/>
          <w:sz w:val="32"/>
          <w:szCs w:val="32"/>
        </w:rPr>
        <w:t>通过任务分解、指标到人（责任处室），建立内部考核机制，对标对表、查漏补缺。</w:t>
      </w:r>
      <w:r>
        <w:rPr>
          <w:rFonts w:eastAsia="仿宋_GB2312"/>
          <w:b/>
          <w:bCs/>
          <w:snapToGrid w:val="0"/>
          <w:spacing w:val="-4"/>
          <w:kern w:val="0"/>
          <w:sz w:val="32"/>
          <w:szCs w:val="32"/>
        </w:rPr>
        <w:t>具体职责上，</w:t>
      </w:r>
      <w:r>
        <w:rPr>
          <w:rFonts w:eastAsia="仿宋_GB2312"/>
          <w:snapToGrid w:val="0"/>
          <w:spacing w:val="-4"/>
          <w:kern w:val="0"/>
          <w:sz w:val="32"/>
          <w:szCs w:val="32"/>
        </w:rPr>
        <w:t>结合区地方金融管理局主责主业，各处室、事业单位根据职能分工各司其职，从金融业稳增长</w:t>
      </w:r>
      <w:r>
        <w:rPr>
          <w:rFonts w:eastAsia="仿宋_GB2312"/>
          <w:sz w:val="32"/>
          <w:szCs w:val="32"/>
        </w:rPr>
        <w:t>、金融服务实体经济、金融改革创新</w:t>
      </w:r>
      <w:r>
        <w:rPr>
          <w:rFonts w:eastAsia="仿宋_GB2312"/>
          <w:snapToGrid w:val="0"/>
          <w:spacing w:val="-4"/>
          <w:kern w:val="0"/>
          <w:sz w:val="32"/>
          <w:szCs w:val="32"/>
        </w:rPr>
        <w:t>、金融风险防范等业务工作需求出发，落实与法治</w:t>
      </w:r>
      <w:r>
        <w:rPr>
          <w:rFonts w:eastAsia="仿宋_GB2312"/>
          <w:snapToGrid w:val="0"/>
          <w:spacing w:val="-4"/>
          <w:kern w:val="0"/>
          <w:sz w:val="32"/>
          <w:szCs w:val="32"/>
        </w:rPr>
        <w:lastRenderedPageBreak/>
        <w:t>政府建设相关的具体工作任务</w:t>
      </w:r>
      <w:r>
        <w:rPr>
          <w:rFonts w:eastAsia="仿宋_GB2312"/>
          <w:sz w:val="32"/>
          <w:szCs w:val="32"/>
        </w:rPr>
        <w:t>。</w:t>
      </w:r>
      <w:r>
        <w:rPr>
          <w:rFonts w:eastAsia="仿宋_GB2312"/>
          <w:b/>
          <w:bCs/>
          <w:sz w:val="32"/>
          <w:szCs w:val="32"/>
        </w:rPr>
        <w:t>制度建设上，</w:t>
      </w:r>
      <w:r>
        <w:rPr>
          <w:rFonts w:eastAsia="仿宋_GB2312"/>
          <w:sz w:val="32"/>
          <w:szCs w:val="32"/>
        </w:rPr>
        <w:t>2024</w:t>
      </w:r>
      <w:r>
        <w:rPr>
          <w:rFonts w:eastAsia="仿宋_GB2312"/>
          <w:sz w:val="32"/>
          <w:szCs w:val="32"/>
        </w:rPr>
        <w:t>年重点修订了区地方金融管理局公平竞争审查制度，进一步完善法治建设有关工作机制。</w:t>
      </w:r>
    </w:p>
    <w:bookmarkEnd w:id="1"/>
    <w:bookmarkEnd w:id="2"/>
    <w:bookmarkEnd w:id="3"/>
    <w:p w:rsidR="00040515" w:rsidRDefault="00D07CDF">
      <w:pPr>
        <w:tabs>
          <w:tab w:val="left" w:pos="774"/>
        </w:tabs>
        <w:snapToGrid w:val="0"/>
        <w:spacing w:line="600" w:lineRule="exact"/>
        <w:ind w:firstLineChars="200" w:firstLine="643"/>
        <w:outlineLvl w:val="0"/>
        <w:rPr>
          <w:rFonts w:eastAsia="楷体_GB2312"/>
          <w:b/>
          <w:bCs/>
          <w:sz w:val="32"/>
          <w:szCs w:val="32"/>
          <w:lang w:val="zh-CN"/>
        </w:rPr>
      </w:pPr>
      <w:r>
        <w:rPr>
          <w:rFonts w:eastAsia="楷体_GB2312"/>
          <w:b/>
          <w:bCs/>
          <w:sz w:val="32"/>
          <w:szCs w:val="32"/>
          <w:lang w:val="zh-CN"/>
        </w:rPr>
        <w:t>（</w:t>
      </w:r>
      <w:r>
        <w:rPr>
          <w:rFonts w:eastAsia="楷体_GB2312" w:hint="eastAsia"/>
          <w:b/>
          <w:bCs/>
          <w:sz w:val="32"/>
          <w:szCs w:val="32"/>
          <w:lang w:val="zh-CN"/>
        </w:rPr>
        <w:t>三</w:t>
      </w:r>
      <w:r>
        <w:rPr>
          <w:rFonts w:eastAsia="楷体_GB2312"/>
          <w:b/>
          <w:bCs/>
          <w:sz w:val="32"/>
          <w:szCs w:val="32"/>
          <w:lang w:val="zh-CN"/>
        </w:rPr>
        <w:t>）积极推动立法工作，推动强化金融改革创新的法治保障</w:t>
      </w:r>
    </w:p>
    <w:p w:rsidR="00040515" w:rsidRDefault="00D07CDF">
      <w:pPr>
        <w:adjustRightInd w:val="0"/>
        <w:snapToGrid w:val="0"/>
        <w:spacing w:line="600" w:lineRule="exact"/>
        <w:ind w:firstLineChars="200" w:firstLine="624"/>
        <w:rPr>
          <w:rFonts w:eastAsia="仿宋_GB2312"/>
          <w:lang w:val="zh-CN"/>
        </w:rPr>
      </w:pPr>
      <w:r>
        <w:rPr>
          <w:rFonts w:ascii="仿宋_GB2312" w:eastAsia="仿宋_GB2312" w:hAnsi="仿宋_GB2312" w:cs="仿宋_GB2312" w:hint="eastAsia"/>
          <w:snapToGrid w:val="0"/>
          <w:spacing w:val="-4"/>
          <w:kern w:val="0"/>
          <w:sz w:val="32"/>
          <w:szCs w:val="32"/>
          <w:lang w:val="zh-CN"/>
        </w:rPr>
        <w:t>认真贯彻落实习近平法治思想和习近平总书记关于立法工作的重要指示要求，善用立法授权，</w:t>
      </w:r>
      <w:r>
        <w:rPr>
          <w:rFonts w:eastAsia="仿宋_GB2312"/>
          <w:snapToGrid w:val="0"/>
          <w:spacing w:val="-4"/>
          <w:kern w:val="0"/>
          <w:sz w:val="32"/>
          <w:szCs w:val="32"/>
        </w:rPr>
        <w:t>聚</w:t>
      </w:r>
      <w:r>
        <w:rPr>
          <w:rFonts w:eastAsia="仿宋_GB2312"/>
          <w:snapToGrid w:val="0"/>
          <w:spacing w:val="-4"/>
          <w:kern w:val="0"/>
          <w:sz w:val="32"/>
          <w:szCs w:val="32"/>
        </w:rPr>
        <w:t>焦贯彻落实</w:t>
      </w:r>
      <w:r>
        <w:rPr>
          <w:rFonts w:eastAsia="仿宋_GB2312" w:hint="eastAsia"/>
          <w:snapToGrid w:val="0"/>
          <w:spacing w:val="-4"/>
          <w:kern w:val="0"/>
          <w:sz w:val="32"/>
          <w:szCs w:val="32"/>
        </w:rPr>
        <w:t>引领区建设、浦东综改、自贸区制度型开放、“五个中心”建设等国家战略改革任务</w:t>
      </w:r>
      <w:r>
        <w:rPr>
          <w:rFonts w:eastAsia="仿宋_GB2312"/>
          <w:snapToGrid w:val="0"/>
          <w:spacing w:val="-4"/>
          <w:kern w:val="0"/>
          <w:sz w:val="32"/>
          <w:szCs w:val="32"/>
        </w:rPr>
        <w:t>，为金融改革创新提供法治保障。</w:t>
      </w:r>
      <w:bookmarkStart w:id="4" w:name="OLE_LINK866"/>
      <w:bookmarkStart w:id="5" w:name="OLE_LINK867"/>
      <w:r>
        <w:rPr>
          <w:rFonts w:ascii="仿宋_GB2312" w:eastAsia="仿宋_GB2312" w:hAnsi="仿宋_GB2312" w:cs="仿宋_GB2312" w:hint="eastAsia"/>
          <w:b/>
          <w:bCs/>
          <w:sz w:val="32"/>
          <w:szCs w:val="32"/>
          <w:lang w:val="zh-CN"/>
        </w:rPr>
        <w:t>一是</w:t>
      </w:r>
      <w:bookmarkStart w:id="6" w:name="OLE_LINK731"/>
      <w:bookmarkStart w:id="7" w:name="OLE_LINK730"/>
      <w:bookmarkEnd w:id="4"/>
      <w:bookmarkEnd w:id="5"/>
      <w:r>
        <w:rPr>
          <w:rFonts w:ascii="仿宋_GB2312" w:eastAsia="仿宋_GB2312" w:hAnsi="仿宋_GB2312" w:cs="仿宋_GB2312" w:hint="eastAsia"/>
          <w:b/>
          <w:bCs/>
          <w:sz w:val="32"/>
          <w:szCs w:val="32"/>
          <w:lang w:val="zh-CN"/>
        </w:rPr>
        <w:t>开展自贸区离岸债券和自由贸易账户的引领区金融立法。</w:t>
      </w:r>
      <w:bookmarkEnd w:id="6"/>
      <w:bookmarkEnd w:id="7"/>
      <w:r>
        <w:rPr>
          <w:rFonts w:eastAsia="仿宋_GB2312" w:hint="eastAsia"/>
          <w:snapToGrid w:val="0"/>
          <w:spacing w:val="-4"/>
          <w:kern w:val="0"/>
          <w:sz w:val="32"/>
          <w:szCs w:val="32"/>
        </w:rPr>
        <w:t>《促进自贸离岸债发展若干规定》和《优化</w:t>
      </w:r>
      <w:r>
        <w:rPr>
          <w:rFonts w:eastAsia="仿宋_GB2312"/>
          <w:snapToGrid w:val="0"/>
          <w:spacing w:val="-4"/>
          <w:kern w:val="0"/>
          <w:sz w:val="32"/>
          <w:szCs w:val="32"/>
        </w:rPr>
        <w:t>FT</w:t>
      </w:r>
      <w:r>
        <w:rPr>
          <w:rFonts w:eastAsia="仿宋_GB2312" w:hint="eastAsia"/>
          <w:snapToGrid w:val="0"/>
          <w:spacing w:val="-4"/>
          <w:kern w:val="0"/>
          <w:sz w:val="32"/>
          <w:szCs w:val="32"/>
        </w:rPr>
        <w:t>账户若干规定》被列为浦东新区法规</w:t>
      </w:r>
      <w:r>
        <w:rPr>
          <w:rFonts w:eastAsia="仿宋_GB2312"/>
          <w:snapToGrid w:val="0"/>
          <w:spacing w:val="-4"/>
          <w:kern w:val="0"/>
          <w:sz w:val="32"/>
          <w:szCs w:val="32"/>
        </w:rPr>
        <w:t>2024</w:t>
      </w:r>
      <w:r>
        <w:rPr>
          <w:rFonts w:eastAsia="仿宋_GB2312" w:hint="eastAsia"/>
          <w:snapToGrid w:val="0"/>
          <w:spacing w:val="-4"/>
          <w:kern w:val="0"/>
          <w:sz w:val="32"/>
          <w:szCs w:val="32"/>
        </w:rPr>
        <w:t>年正式项目，</w:t>
      </w:r>
      <w:r>
        <w:rPr>
          <w:rFonts w:eastAsia="仿宋_GB2312"/>
          <w:bCs/>
          <w:sz w:val="32"/>
          <w:szCs w:val="32"/>
        </w:rPr>
        <w:t>由市委金融办牵头起草</w:t>
      </w:r>
      <w:r>
        <w:rPr>
          <w:rFonts w:eastAsia="仿宋_GB2312" w:hint="eastAsia"/>
          <w:bCs/>
          <w:sz w:val="32"/>
          <w:szCs w:val="32"/>
        </w:rPr>
        <w:t>，</w:t>
      </w:r>
      <w:r>
        <w:rPr>
          <w:rFonts w:eastAsia="仿宋_GB2312"/>
          <w:bCs/>
          <w:sz w:val="32"/>
          <w:szCs w:val="32"/>
        </w:rPr>
        <w:t>区</w:t>
      </w:r>
      <w:r>
        <w:rPr>
          <w:rFonts w:eastAsia="仿宋_GB2312" w:hint="eastAsia"/>
          <w:bCs/>
          <w:sz w:val="32"/>
          <w:szCs w:val="32"/>
        </w:rPr>
        <w:t>地方金融管理局组织</w:t>
      </w:r>
      <w:r>
        <w:rPr>
          <w:rFonts w:eastAsia="仿宋_GB2312"/>
          <w:bCs/>
          <w:sz w:val="32"/>
          <w:szCs w:val="32"/>
        </w:rPr>
        <w:t>立法课题研究</w:t>
      </w:r>
      <w:r>
        <w:rPr>
          <w:rFonts w:eastAsia="仿宋_GB2312" w:hint="eastAsia"/>
          <w:bCs/>
          <w:sz w:val="32"/>
          <w:szCs w:val="32"/>
        </w:rPr>
        <w:t>，连续召开近</w:t>
      </w:r>
      <w:r>
        <w:rPr>
          <w:rFonts w:eastAsia="仿宋_GB2312"/>
          <w:bCs/>
          <w:sz w:val="32"/>
          <w:szCs w:val="32"/>
        </w:rPr>
        <w:t>20</w:t>
      </w:r>
      <w:r>
        <w:rPr>
          <w:rFonts w:eastAsia="仿宋_GB2312" w:hint="eastAsia"/>
          <w:bCs/>
          <w:sz w:val="32"/>
          <w:szCs w:val="32"/>
        </w:rPr>
        <w:t>次座谈会和</w:t>
      </w:r>
      <w:r>
        <w:rPr>
          <w:rFonts w:eastAsia="仿宋_GB2312"/>
          <w:bCs/>
          <w:sz w:val="32"/>
          <w:szCs w:val="32"/>
        </w:rPr>
        <w:t>调研</w:t>
      </w:r>
      <w:r>
        <w:rPr>
          <w:rFonts w:eastAsia="仿宋_GB2312" w:hint="eastAsia"/>
          <w:bCs/>
          <w:sz w:val="32"/>
          <w:szCs w:val="32"/>
        </w:rPr>
        <w:t>会</w:t>
      </w:r>
      <w:r>
        <w:rPr>
          <w:rFonts w:eastAsia="仿宋_GB2312"/>
          <w:bCs/>
          <w:sz w:val="32"/>
          <w:szCs w:val="32"/>
        </w:rPr>
        <w:t>，</w:t>
      </w:r>
      <w:r>
        <w:rPr>
          <w:rFonts w:eastAsia="仿宋_GB2312" w:hint="eastAsia"/>
          <w:bCs/>
          <w:sz w:val="32"/>
          <w:szCs w:val="32"/>
        </w:rPr>
        <w:t>广泛收集立法需求建议，协调推动相关立法工作</w:t>
      </w:r>
      <w:r>
        <w:rPr>
          <w:rFonts w:eastAsia="仿宋_GB2312"/>
          <w:bCs/>
          <w:sz w:val="32"/>
          <w:szCs w:val="32"/>
        </w:rPr>
        <w:t>。</w:t>
      </w:r>
      <w:r>
        <w:rPr>
          <w:rFonts w:ascii="仿宋_GB2312" w:eastAsia="仿宋_GB2312" w:hAnsi="仿宋_GB2312" w:cs="仿宋_GB2312" w:hint="eastAsia"/>
          <w:b/>
          <w:bCs/>
          <w:sz w:val="32"/>
          <w:szCs w:val="32"/>
          <w:lang w:val="zh-CN"/>
        </w:rPr>
        <w:t>二是深入实施绿色金融法规。</w:t>
      </w:r>
      <w:r>
        <w:rPr>
          <w:rFonts w:eastAsia="仿宋_GB2312"/>
          <w:snapToGrid w:val="0"/>
          <w:spacing w:val="-4"/>
          <w:kern w:val="0"/>
          <w:sz w:val="32"/>
          <w:szCs w:val="32"/>
        </w:rPr>
        <w:t>《浦东新区绿色金融发展若干规定》落地实施取得一系列成果，举办</w:t>
      </w:r>
      <w:r>
        <w:rPr>
          <w:rFonts w:eastAsia="仿宋_GB2312"/>
          <w:snapToGrid w:val="0"/>
          <w:spacing w:val="-4"/>
          <w:kern w:val="0"/>
          <w:sz w:val="32"/>
          <w:szCs w:val="32"/>
        </w:rPr>
        <w:t>“</w:t>
      </w:r>
      <w:r>
        <w:rPr>
          <w:rFonts w:eastAsia="仿宋_GB2312"/>
          <w:snapToGrid w:val="0"/>
          <w:spacing w:val="-4"/>
          <w:kern w:val="0"/>
          <w:sz w:val="32"/>
          <w:szCs w:val="32"/>
        </w:rPr>
        <w:t>上海市绿色金融发展暨浦东新区创新推进大会</w:t>
      </w:r>
      <w:r>
        <w:rPr>
          <w:rFonts w:eastAsia="仿宋_GB2312"/>
          <w:snapToGrid w:val="0"/>
          <w:spacing w:val="-4"/>
          <w:kern w:val="0"/>
          <w:sz w:val="32"/>
          <w:szCs w:val="32"/>
        </w:rPr>
        <w:t>”</w:t>
      </w:r>
      <w:r>
        <w:rPr>
          <w:rFonts w:eastAsia="仿宋_GB2312"/>
          <w:snapToGrid w:val="0"/>
          <w:spacing w:val="-4"/>
          <w:kern w:val="0"/>
          <w:sz w:val="32"/>
          <w:szCs w:val="32"/>
        </w:rPr>
        <w:t>，推出新一批</w:t>
      </w:r>
      <w:r>
        <w:rPr>
          <w:rFonts w:eastAsia="仿宋_GB2312"/>
          <w:snapToGrid w:val="0"/>
          <w:spacing w:val="-4"/>
          <w:kern w:val="0"/>
          <w:sz w:val="32"/>
          <w:szCs w:val="32"/>
        </w:rPr>
        <w:t>“</w:t>
      </w:r>
      <w:r>
        <w:rPr>
          <w:rFonts w:eastAsia="仿宋_GB2312"/>
          <w:snapToGrid w:val="0"/>
          <w:spacing w:val="-4"/>
          <w:kern w:val="0"/>
          <w:sz w:val="32"/>
          <w:szCs w:val="32"/>
        </w:rPr>
        <w:t>浦东绿色金融创新十大案例</w:t>
      </w:r>
      <w:r>
        <w:rPr>
          <w:rFonts w:eastAsia="仿宋_GB2312"/>
          <w:snapToGrid w:val="0"/>
          <w:spacing w:val="-4"/>
          <w:kern w:val="0"/>
          <w:sz w:val="32"/>
          <w:szCs w:val="32"/>
        </w:rPr>
        <w:t>”“</w:t>
      </w:r>
      <w:r>
        <w:rPr>
          <w:rFonts w:eastAsia="仿宋_GB2312"/>
          <w:snapToGrid w:val="0"/>
          <w:spacing w:val="-4"/>
          <w:kern w:val="0"/>
          <w:sz w:val="32"/>
          <w:szCs w:val="32"/>
        </w:rPr>
        <w:t>绿色金融发展十大案例</w:t>
      </w:r>
      <w:r>
        <w:rPr>
          <w:rFonts w:eastAsia="仿宋_GB2312"/>
          <w:snapToGrid w:val="0"/>
          <w:spacing w:val="-4"/>
          <w:kern w:val="0"/>
          <w:sz w:val="32"/>
          <w:szCs w:val="32"/>
        </w:rPr>
        <w:t>”</w:t>
      </w:r>
      <w:r>
        <w:rPr>
          <w:rFonts w:eastAsia="仿宋_GB2312"/>
          <w:snapToGrid w:val="0"/>
          <w:spacing w:val="-4"/>
          <w:kern w:val="0"/>
          <w:sz w:val="32"/>
          <w:szCs w:val="32"/>
        </w:rPr>
        <w:t>，首批中小企业环境信息披露和金融机构碳排放信息披露启动试点，</w:t>
      </w:r>
      <w:r>
        <w:rPr>
          <w:rFonts w:eastAsia="仿宋_GB2312"/>
          <w:snapToGrid w:val="0"/>
          <w:spacing w:val="-4"/>
          <w:kern w:val="0"/>
          <w:sz w:val="32"/>
          <w:szCs w:val="32"/>
        </w:rPr>
        <w:t>12</w:t>
      </w:r>
      <w:r>
        <w:rPr>
          <w:rFonts w:eastAsia="仿宋_GB2312"/>
          <w:snapToGrid w:val="0"/>
          <w:spacing w:val="-4"/>
          <w:kern w:val="0"/>
          <w:sz w:val="32"/>
          <w:szCs w:val="32"/>
        </w:rPr>
        <w:t>个绿色金融项目签约落地浦东。发布了金融机构碳排放核算与信息披露指引，为金融机构科学开展环境信息披露提供浦东范例。</w:t>
      </w:r>
    </w:p>
    <w:p w:rsidR="00040515" w:rsidRDefault="00D07CDF">
      <w:pPr>
        <w:tabs>
          <w:tab w:val="left" w:pos="774"/>
        </w:tabs>
        <w:snapToGrid w:val="0"/>
        <w:spacing w:line="600" w:lineRule="exact"/>
        <w:ind w:firstLineChars="200" w:firstLine="643"/>
        <w:outlineLvl w:val="0"/>
        <w:rPr>
          <w:rFonts w:eastAsia="楷体_GB2312"/>
          <w:b/>
          <w:bCs/>
          <w:sz w:val="32"/>
          <w:szCs w:val="32"/>
          <w:lang w:val="zh-CN"/>
        </w:rPr>
      </w:pPr>
      <w:r>
        <w:rPr>
          <w:rFonts w:eastAsia="楷体_GB2312"/>
          <w:b/>
          <w:bCs/>
          <w:sz w:val="32"/>
          <w:szCs w:val="32"/>
          <w:lang w:val="zh-CN"/>
        </w:rPr>
        <w:lastRenderedPageBreak/>
        <w:t>（四）</w:t>
      </w:r>
      <w:r>
        <w:rPr>
          <w:rFonts w:eastAsia="楷体_GB2312" w:hint="eastAsia"/>
          <w:b/>
          <w:bCs/>
          <w:sz w:val="32"/>
          <w:szCs w:val="32"/>
          <w:lang w:val="zh-CN"/>
        </w:rPr>
        <w:t>落实法治责任制，</w:t>
      </w:r>
      <w:r>
        <w:rPr>
          <w:rFonts w:eastAsia="楷体_GB2312"/>
          <w:b/>
          <w:bCs/>
          <w:sz w:val="32"/>
          <w:szCs w:val="32"/>
          <w:lang w:val="zh-CN"/>
        </w:rPr>
        <w:t>不折不扣完成法治基础性工作</w:t>
      </w:r>
    </w:p>
    <w:p w:rsidR="00040515" w:rsidRDefault="00D07CDF">
      <w:pPr>
        <w:pStyle w:val="3"/>
        <w:snapToGrid w:val="0"/>
        <w:ind w:firstLine="624"/>
        <w:rPr>
          <w:rFonts w:ascii="Times New Roman" w:eastAsia="仿宋_GB2312" w:hAnsi="Times New Roman"/>
        </w:rPr>
      </w:pPr>
      <w:r>
        <w:rPr>
          <w:rFonts w:ascii="Times New Roman" w:eastAsia="仿宋_GB2312" w:hAnsi="Times New Roman" w:cs="Times New Roman"/>
          <w:snapToGrid w:val="0"/>
          <w:spacing w:val="-4"/>
          <w:kern w:val="0"/>
          <w:lang w:val="zh-CN"/>
        </w:rPr>
        <w:t>以法治责任制考核为牵引，规范权力运行，依法高效履职，推进政府职能转变，提升治理能力现代化水平。</w:t>
      </w:r>
      <w:r>
        <w:rPr>
          <w:rFonts w:ascii="Times New Roman" w:eastAsia="仿宋_GB2312" w:hAnsi="Times New Roman" w:cs="Times New Roman"/>
          <w:b/>
          <w:bCs/>
          <w:snapToGrid w:val="0"/>
          <w:spacing w:val="-4"/>
          <w:kern w:val="0"/>
          <w:lang w:val="zh-CN"/>
        </w:rPr>
        <w:t>一是深入推进依法科学民</w:t>
      </w:r>
      <w:r>
        <w:rPr>
          <w:rFonts w:ascii="Times New Roman" w:eastAsia="仿宋_GB2312" w:hAnsi="Times New Roman" w:cs="Times New Roman"/>
          <w:b/>
          <w:bCs/>
          <w:snapToGrid w:val="0"/>
          <w:spacing w:val="-4"/>
          <w:kern w:val="0"/>
          <w:lang w:val="zh-CN"/>
        </w:rPr>
        <w:t>主决策。</w:t>
      </w:r>
      <w:r>
        <w:rPr>
          <w:rFonts w:ascii="仿宋_GB2312" w:eastAsia="仿宋_GB2312" w:hint="eastAsia"/>
          <w:bCs/>
          <w:color w:val="000000"/>
          <w:spacing w:val="-4"/>
        </w:rPr>
        <w:t>修订并落实重要会议、“三重一大”</w:t>
      </w:r>
      <w:r>
        <w:rPr>
          <w:rFonts w:ascii="仿宋_GB2312" w:eastAsia="仿宋_GB2312" w:hint="eastAsia"/>
          <w:color w:val="000000"/>
          <w:spacing w:val="-4"/>
        </w:rPr>
        <w:t>议事规则</w:t>
      </w:r>
      <w:r>
        <w:rPr>
          <w:rFonts w:ascii="Times New Roman" w:eastAsia="仿宋_GB2312" w:hAnsi="Times New Roman" w:cs="Times New Roman"/>
          <w:snapToGrid w:val="0"/>
          <w:spacing w:val="-4"/>
          <w:kern w:val="0"/>
          <w:lang w:val="zh-CN"/>
        </w:rPr>
        <w:t>等制度，严格按规定、按程序、按集体意志办事，不断提高科学决策水平。</w:t>
      </w:r>
      <w:r>
        <w:rPr>
          <w:rFonts w:ascii="Times New Roman" w:eastAsia="仿宋_GB2312" w:hAnsi="Times New Roman" w:cs="Times New Roman"/>
          <w:b/>
          <w:bCs/>
          <w:snapToGrid w:val="0"/>
          <w:spacing w:val="-4"/>
          <w:kern w:val="0"/>
          <w:lang w:val="zh-CN"/>
        </w:rPr>
        <w:t>二是深入开展行政规范性文件管理。</w:t>
      </w:r>
      <w:r>
        <w:rPr>
          <w:rFonts w:ascii="Times New Roman" w:eastAsia="仿宋_GB2312" w:hAnsi="Times New Roman" w:cs="Times New Roman"/>
          <w:snapToGrid w:val="0"/>
          <w:spacing w:val="-4"/>
          <w:kern w:val="0"/>
        </w:rPr>
        <w:t>加强行政规范性文件制定程序管理，</w:t>
      </w:r>
      <w:r>
        <w:rPr>
          <w:rFonts w:ascii="Times New Roman" w:eastAsia="仿宋_GB2312" w:hAnsi="Times New Roman" w:cs="Times New Roman" w:hint="eastAsia"/>
          <w:snapToGrid w:val="0"/>
          <w:spacing w:val="-4"/>
          <w:kern w:val="0"/>
          <w:lang w:val="zh-CN"/>
        </w:rPr>
        <w:t>2024</w:t>
      </w:r>
      <w:r>
        <w:rPr>
          <w:rFonts w:ascii="Times New Roman" w:eastAsia="仿宋_GB2312" w:hAnsi="Times New Roman" w:cs="Times New Roman"/>
          <w:snapToGrid w:val="0"/>
          <w:spacing w:val="-4"/>
          <w:kern w:val="0"/>
          <w:lang w:val="zh-CN"/>
        </w:rPr>
        <w:t>年</w:t>
      </w:r>
      <w:r>
        <w:rPr>
          <w:rFonts w:ascii="Times New Roman" w:eastAsia="仿宋_GB2312" w:hAnsi="Times New Roman" w:cs="Times New Roman" w:hint="eastAsia"/>
          <w:snapToGrid w:val="0"/>
          <w:spacing w:val="-4"/>
          <w:kern w:val="0"/>
          <w:lang w:val="zh-CN"/>
        </w:rPr>
        <w:t>无新增行政规范性文件</w:t>
      </w:r>
      <w:r>
        <w:rPr>
          <w:rFonts w:ascii="Times New Roman" w:eastAsia="仿宋_GB2312" w:hAnsi="Times New Roman" w:cs="Times New Roman" w:hint="eastAsia"/>
          <w:snapToGrid w:val="0"/>
          <w:spacing w:val="-4"/>
          <w:kern w:val="0"/>
        </w:rPr>
        <w:t>。</w:t>
      </w:r>
      <w:r>
        <w:rPr>
          <w:rFonts w:ascii="Times New Roman" w:eastAsia="仿宋_GB2312" w:hAnsi="Times New Roman" w:cs="Times New Roman"/>
          <w:b/>
          <w:bCs/>
          <w:snapToGrid w:val="0"/>
          <w:spacing w:val="-4"/>
          <w:kern w:val="0"/>
        </w:rPr>
        <w:t>三是深入</w:t>
      </w:r>
      <w:r>
        <w:rPr>
          <w:rFonts w:ascii="Times New Roman" w:eastAsia="仿宋_GB2312" w:hAnsi="Times New Roman" w:cs="Times New Roman"/>
          <w:b/>
          <w:bCs/>
          <w:snapToGrid w:val="0"/>
          <w:spacing w:val="-4"/>
          <w:kern w:val="0"/>
          <w:lang w:val="zh-CN"/>
        </w:rPr>
        <w:t>强化政务公开。</w:t>
      </w:r>
      <w:r>
        <w:rPr>
          <w:rFonts w:ascii="Times New Roman" w:eastAsia="仿宋_GB2312" w:hAnsi="Times New Roman" w:cs="Times New Roman" w:hint="eastAsia"/>
          <w:snapToGrid w:val="0"/>
          <w:spacing w:val="-4"/>
          <w:kern w:val="0"/>
          <w:lang w:val="zh-CN"/>
        </w:rPr>
        <w:t>不断</w:t>
      </w:r>
      <w:r>
        <w:rPr>
          <w:rFonts w:ascii="Times New Roman" w:eastAsia="仿宋_GB2312" w:hAnsi="Times New Roman" w:cs="Times New Roman"/>
          <w:snapToGrid w:val="0"/>
          <w:spacing w:val="-4"/>
          <w:kern w:val="0"/>
          <w:lang w:val="zh-CN"/>
        </w:rPr>
        <w:t>提升政务公开规范化</w:t>
      </w:r>
      <w:r>
        <w:rPr>
          <w:rFonts w:ascii="Times New Roman" w:eastAsia="仿宋_GB2312" w:hAnsi="Times New Roman" w:cs="Times New Roman" w:hint="eastAsia"/>
          <w:snapToGrid w:val="0"/>
          <w:spacing w:val="-4"/>
          <w:kern w:val="0"/>
          <w:lang w:val="zh-CN"/>
        </w:rPr>
        <w:t>水平</w:t>
      </w:r>
      <w:r>
        <w:rPr>
          <w:rFonts w:ascii="Times New Roman" w:eastAsia="仿宋_GB2312" w:hAnsi="Times New Roman" w:cs="Times New Roman"/>
          <w:snapToGrid w:val="0"/>
          <w:spacing w:val="-4"/>
          <w:kern w:val="0"/>
          <w:lang w:val="zh-CN"/>
        </w:rPr>
        <w:t>，加大重点领域的公开力度。</w:t>
      </w:r>
      <w:r>
        <w:rPr>
          <w:rFonts w:ascii="Times New Roman" w:eastAsia="仿宋_GB2312" w:hAnsi="Times New Roman" w:cs="Times New Roman"/>
          <w:snapToGrid w:val="0"/>
          <w:spacing w:val="-4"/>
          <w:kern w:val="0"/>
        </w:rPr>
        <w:t>2024</w:t>
      </w:r>
      <w:r>
        <w:rPr>
          <w:rFonts w:ascii="Times New Roman" w:eastAsia="仿宋_GB2312" w:hAnsi="Times New Roman" w:cs="Times New Roman" w:hint="eastAsia"/>
          <w:snapToGrid w:val="0"/>
          <w:spacing w:val="-4"/>
          <w:kern w:val="0"/>
        </w:rPr>
        <w:t>年</w:t>
      </w:r>
      <w:r>
        <w:rPr>
          <w:rFonts w:ascii="Times New Roman" w:eastAsia="仿宋_GB2312" w:hAnsi="Times New Roman" w:cs="Times New Roman"/>
          <w:snapToGrid w:val="0"/>
          <w:spacing w:val="-4"/>
          <w:kern w:val="0"/>
          <w:lang w:val="zh-CN"/>
        </w:rPr>
        <w:t>累计在浦东门户网站政务公开栏目发布各类信息</w:t>
      </w:r>
      <w:r>
        <w:rPr>
          <w:rFonts w:ascii="Times New Roman" w:eastAsia="仿宋_GB2312" w:hAnsi="Times New Roman" w:cs="Times New Roman" w:hint="eastAsia"/>
          <w:snapToGrid w:val="0"/>
          <w:spacing w:val="-4"/>
          <w:kern w:val="0"/>
        </w:rPr>
        <w:t>78</w:t>
      </w:r>
      <w:r>
        <w:rPr>
          <w:rFonts w:ascii="Times New Roman" w:eastAsia="仿宋_GB2312" w:hAnsi="Times New Roman" w:cs="Times New Roman" w:hint="eastAsia"/>
          <w:snapToGrid w:val="0"/>
          <w:spacing w:val="-4"/>
          <w:kern w:val="0"/>
        </w:rPr>
        <w:t>余</w:t>
      </w:r>
      <w:r>
        <w:rPr>
          <w:rFonts w:ascii="Times New Roman" w:eastAsia="仿宋_GB2312" w:hAnsi="Times New Roman" w:cs="Times New Roman"/>
          <w:snapToGrid w:val="0"/>
          <w:spacing w:val="-4"/>
          <w:kern w:val="0"/>
          <w:lang w:val="zh-CN"/>
        </w:rPr>
        <w:t>条，更新发布中小微担保基金申报等政策申请流程</w:t>
      </w:r>
      <w:r>
        <w:rPr>
          <w:rFonts w:ascii="Times New Roman" w:eastAsia="仿宋_GB2312" w:hAnsi="Times New Roman" w:cs="Times New Roman" w:hint="eastAsia"/>
          <w:snapToGrid w:val="0"/>
          <w:spacing w:val="-4"/>
          <w:kern w:val="0"/>
          <w:lang w:val="zh-CN"/>
        </w:rPr>
        <w:t>。</w:t>
      </w:r>
      <w:r>
        <w:rPr>
          <w:rFonts w:ascii="Times New Roman" w:eastAsia="仿宋_GB2312" w:hAnsi="Times New Roman" w:cs="Times New Roman"/>
          <w:snapToGrid w:val="0"/>
          <w:spacing w:val="-4"/>
          <w:kern w:val="0"/>
          <w:lang w:val="zh-CN"/>
        </w:rPr>
        <w:t>在政府开放月期间，</w:t>
      </w:r>
      <w:r>
        <w:rPr>
          <w:rFonts w:ascii="Times New Roman" w:eastAsia="仿宋_GB2312" w:hAnsi="Times New Roman" w:cs="Times New Roman" w:hint="eastAsia"/>
          <w:snapToGrid w:val="0"/>
          <w:spacing w:val="-4"/>
          <w:kern w:val="0"/>
          <w:lang w:val="zh-CN"/>
        </w:rPr>
        <w:t>组织开展</w:t>
      </w:r>
      <w:r>
        <w:rPr>
          <w:rFonts w:ascii="Times New Roman" w:eastAsia="仿宋_GB2312" w:hAnsi="Times New Roman" w:cs="Times New Roman"/>
          <w:snapToGrid w:val="0"/>
          <w:spacing w:val="-4"/>
          <w:kern w:val="0"/>
          <w:lang w:val="zh-CN"/>
        </w:rPr>
        <w:t>上市辅导活动</w:t>
      </w:r>
      <w:r>
        <w:rPr>
          <w:rFonts w:ascii="Times New Roman" w:eastAsia="仿宋_GB2312" w:hAnsi="Times New Roman" w:cs="Times New Roman" w:hint="eastAsia"/>
          <w:snapToGrid w:val="0"/>
          <w:spacing w:val="-4"/>
          <w:kern w:val="0"/>
          <w:lang w:val="zh-CN"/>
        </w:rPr>
        <w:t>，邀请上交所、上海证监局、拟上市公司参加，听取企业业务发展情况、上市服务需求和疑难问题等，现场答疑交流。组织开展“金融伴企行”金融服务宣介活动，现场进行科创金融信贷产品及服务介绍，助力企业融资普惠金融政策解读等。</w:t>
      </w:r>
      <w:r>
        <w:rPr>
          <w:rFonts w:ascii="Times New Roman" w:eastAsia="仿宋_GB2312" w:hAnsi="Times New Roman" w:cs="Times New Roman"/>
          <w:b/>
          <w:bCs/>
          <w:snapToGrid w:val="0"/>
          <w:spacing w:val="-4"/>
          <w:kern w:val="0"/>
          <w:lang w:val="zh-CN"/>
        </w:rPr>
        <w:t>四是深入</w:t>
      </w:r>
      <w:r>
        <w:rPr>
          <w:rFonts w:ascii="Times New Roman" w:eastAsia="仿宋_GB2312" w:hAnsi="Times New Roman" w:cs="Times New Roman" w:hint="eastAsia"/>
          <w:b/>
          <w:bCs/>
          <w:snapToGrid w:val="0"/>
          <w:spacing w:val="-4"/>
          <w:kern w:val="0"/>
          <w:lang w:val="zh-CN"/>
        </w:rPr>
        <w:t>做好</w:t>
      </w:r>
      <w:r>
        <w:rPr>
          <w:rFonts w:ascii="Times New Roman" w:eastAsia="仿宋_GB2312" w:hAnsi="Times New Roman" w:cs="Times New Roman"/>
          <w:b/>
          <w:bCs/>
          <w:snapToGrid w:val="0"/>
          <w:spacing w:val="-4"/>
          <w:kern w:val="0"/>
          <w:lang w:val="zh-CN"/>
        </w:rPr>
        <w:t>地方金融管理</w:t>
      </w:r>
      <w:r>
        <w:rPr>
          <w:rFonts w:ascii="Times New Roman" w:eastAsia="仿宋_GB2312" w:hAnsi="Times New Roman" w:cs="Times New Roman" w:hint="eastAsia"/>
          <w:b/>
          <w:bCs/>
          <w:snapToGrid w:val="0"/>
          <w:spacing w:val="-4"/>
          <w:kern w:val="0"/>
          <w:lang w:val="zh-CN"/>
        </w:rPr>
        <w:t>和金融风险防范工作</w:t>
      </w:r>
      <w:r>
        <w:rPr>
          <w:rFonts w:ascii="Times New Roman" w:eastAsia="仿宋_GB2312" w:hAnsi="Times New Roman" w:cs="Times New Roman"/>
          <w:b/>
          <w:bCs/>
          <w:snapToGrid w:val="0"/>
          <w:spacing w:val="-4"/>
          <w:kern w:val="0"/>
          <w:lang w:val="zh-CN"/>
        </w:rPr>
        <w:t>。</w:t>
      </w:r>
      <w:r>
        <w:rPr>
          <w:rFonts w:ascii="Times New Roman" w:eastAsia="仿宋_GB2312" w:hAnsi="Times New Roman"/>
        </w:rPr>
        <w:t>做好</w:t>
      </w:r>
      <w:r>
        <w:rPr>
          <w:rFonts w:ascii="Times New Roman" w:eastAsia="仿宋_GB2312" w:hAnsi="Times New Roman"/>
        </w:rPr>
        <w:t>2024</w:t>
      </w:r>
      <w:r>
        <w:rPr>
          <w:rFonts w:ascii="Times New Roman" w:eastAsia="仿宋_GB2312" w:hAnsi="Times New Roman"/>
        </w:rPr>
        <w:t>年度现场检查和监管评级工作，与市地方金融管理局沟通监管评级复评结果。做好企业重大事项变更事宜，完成</w:t>
      </w:r>
      <w:r>
        <w:rPr>
          <w:rFonts w:ascii="Times New Roman" w:eastAsia="仿宋_GB2312" w:hAnsi="Times New Roman"/>
        </w:rPr>
        <w:t>7</w:t>
      </w:r>
      <w:r>
        <w:rPr>
          <w:rFonts w:ascii="Times New Roman" w:eastAsia="仿宋_GB2312" w:hAnsi="Times New Roman"/>
        </w:rPr>
        <w:t>家机构重大事项变更的材料审核。完善</w:t>
      </w:r>
      <w:r>
        <w:rPr>
          <w:rFonts w:ascii="Times New Roman" w:eastAsia="仿宋_GB2312" w:hAnsi="Times New Roman"/>
        </w:rPr>
        <w:t>“</w:t>
      </w:r>
      <w:r>
        <w:rPr>
          <w:rFonts w:ascii="Times New Roman" w:eastAsia="仿宋_GB2312" w:hAnsi="Times New Roman"/>
        </w:rPr>
        <w:t>一网通办</w:t>
      </w:r>
      <w:r>
        <w:rPr>
          <w:rFonts w:ascii="Times New Roman" w:eastAsia="仿宋_GB2312" w:hAnsi="Times New Roman"/>
        </w:rPr>
        <w:t>”</w:t>
      </w:r>
      <w:r>
        <w:rPr>
          <w:rFonts w:ascii="Times New Roman" w:eastAsia="仿宋_GB2312" w:hAnsi="Times New Roman"/>
        </w:rPr>
        <w:t>流程，更新</w:t>
      </w:r>
      <w:r>
        <w:rPr>
          <w:rFonts w:ascii="Times New Roman" w:eastAsia="仿宋_GB2312" w:hAnsi="Times New Roman"/>
        </w:rPr>
        <w:t>“</w:t>
      </w:r>
      <w:r>
        <w:rPr>
          <w:rFonts w:ascii="Times New Roman" w:eastAsia="仿宋_GB2312" w:hAnsi="Times New Roman"/>
        </w:rPr>
        <w:t>一网通办</w:t>
      </w:r>
      <w:r>
        <w:rPr>
          <w:rFonts w:ascii="Times New Roman" w:eastAsia="仿宋_GB2312" w:hAnsi="Times New Roman"/>
        </w:rPr>
        <w:t>”</w:t>
      </w:r>
      <w:r>
        <w:rPr>
          <w:rFonts w:ascii="Times New Roman" w:eastAsia="仿宋_GB2312" w:hAnsi="Times New Roman"/>
        </w:rPr>
        <w:t>信息系统，编制办事指南。</w:t>
      </w:r>
    </w:p>
    <w:p w:rsidR="00040515" w:rsidRDefault="00D07CDF">
      <w:pPr>
        <w:tabs>
          <w:tab w:val="left" w:pos="774"/>
        </w:tabs>
        <w:snapToGrid w:val="0"/>
        <w:spacing w:line="600" w:lineRule="exact"/>
        <w:ind w:firstLineChars="200" w:firstLine="643"/>
        <w:outlineLvl w:val="0"/>
        <w:rPr>
          <w:rFonts w:eastAsia="楷体_GB2312"/>
          <w:b/>
          <w:bCs/>
          <w:sz w:val="32"/>
          <w:szCs w:val="32"/>
          <w:lang w:val="zh-CN"/>
        </w:rPr>
      </w:pPr>
      <w:r>
        <w:rPr>
          <w:rFonts w:eastAsia="楷体_GB2312"/>
          <w:b/>
          <w:bCs/>
          <w:sz w:val="32"/>
          <w:szCs w:val="32"/>
          <w:lang w:val="zh-CN"/>
        </w:rPr>
        <w:t>（</w:t>
      </w:r>
      <w:r>
        <w:rPr>
          <w:rFonts w:eastAsia="楷体_GB2312" w:hint="eastAsia"/>
          <w:b/>
          <w:bCs/>
          <w:sz w:val="32"/>
          <w:szCs w:val="32"/>
          <w:lang w:val="zh-CN"/>
        </w:rPr>
        <w:t>五</w:t>
      </w:r>
      <w:r>
        <w:rPr>
          <w:rFonts w:eastAsia="楷体_GB2312"/>
          <w:b/>
          <w:bCs/>
          <w:sz w:val="32"/>
          <w:szCs w:val="32"/>
          <w:lang w:val="zh-CN"/>
        </w:rPr>
        <w:t>）积极回应新要求新期待，大力推动浦东青少年的金融安全教育及防范非法集资教育常态化开展</w:t>
      </w:r>
    </w:p>
    <w:p w:rsidR="00040515" w:rsidRDefault="00D07CDF">
      <w:pPr>
        <w:adjustRightInd w:val="0"/>
        <w:snapToGrid w:val="0"/>
        <w:spacing w:line="600" w:lineRule="exact"/>
        <w:ind w:firstLineChars="200" w:firstLine="624"/>
        <w:rPr>
          <w:rFonts w:eastAsia="仿宋_GB2312"/>
          <w:snapToGrid w:val="0"/>
          <w:spacing w:val="-4"/>
          <w:kern w:val="0"/>
          <w:sz w:val="32"/>
          <w:szCs w:val="32"/>
          <w:lang w:val="zh-CN"/>
        </w:rPr>
      </w:pPr>
      <w:r>
        <w:rPr>
          <w:rFonts w:eastAsia="仿宋_GB2312"/>
          <w:snapToGrid w:val="0"/>
          <w:spacing w:val="-4"/>
          <w:kern w:val="0"/>
          <w:sz w:val="32"/>
          <w:szCs w:val="32"/>
          <w:lang w:val="zh-CN"/>
        </w:rPr>
        <w:lastRenderedPageBreak/>
        <w:t>2024</w:t>
      </w:r>
      <w:r>
        <w:rPr>
          <w:rFonts w:eastAsia="仿宋_GB2312"/>
          <w:snapToGrid w:val="0"/>
          <w:spacing w:val="-4"/>
          <w:kern w:val="0"/>
          <w:sz w:val="32"/>
          <w:szCs w:val="32"/>
          <w:lang w:val="zh-CN"/>
        </w:rPr>
        <w:t>年浦东投资者教育基地被市教委授牌为</w:t>
      </w:r>
      <w:r>
        <w:rPr>
          <w:rFonts w:eastAsia="仿宋_GB2312"/>
          <w:snapToGrid w:val="0"/>
          <w:spacing w:val="-4"/>
          <w:kern w:val="0"/>
          <w:sz w:val="32"/>
          <w:szCs w:val="32"/>
          <w:lang w:val="zh-CN"/>
        </w:rPr>
        <w:t>“</w:t>
      </w:r>
      <w:r>
        <w:rPr>
          <w:rFonts w:eastAsia="仿宋_GB2312"/>
          <w:snapToGrid w:val="0"/>
          <w:spacing w:val="-4"/>
          <w:kern w:val="0"/>
          <w:sz w:val="32"/>
          <w:szCs w:val="32"/>
          <w:lang w:val="zh-CN"/>
        </w:rPr>
        <w:t>浦东新区中学生实践基地</w:t>
      </w:r>
      <w:r>
        <w:rPr>
          <w:rFonts w:eastAsia="仿宋_GB2312"/>
          <w:snapToGrid w:val="0"/>
          <w:spacing w:val="-4"/>
          <w:kern w:val="0"/>
          <w:sz w:val="32"/>
          <w:szCs w:val="32"/>
          <w:lang w:val="zh-CN"/>
        </w:rPr>
        <w:t>”</w:t>
      </w:r>
      <w:r>
        <w:rPr>
          <w:rFonts w:eastAsia="仿宋_GB2312"/>
          <w:snapToGrid w:val="0"/>
          <w:spacing w:val="-4"/>
          <w:kern w:val="0"/>
          <w:sz w:val="32"/>
          <w:szCs w:val="32"/>
        </w:rPr>
        <w:t>，聚焦</w:t>
      </w:r>
      <w:r>
        <w:rPr>
          <w:rFonts w:eastAsia="仿宋_GB2312"/>
          <w:snapToGrid w:val="0"/>
          <w:spacing w:val="-4"/>
          <w:kern w:val="0"/>
          <w:sz w:val="32"/>
          <w:szCs w:val="32"/>
          <w:lang w:val="zh-CN"/>
        </w:rPr>
        <w:t>金融风险防范教育、金融知识普及等主题，共举办了</w:t>
      </w:r>
      <w:r>
        <w:rPr>
          <w:rFonts w:eastAsia="仿宋_GB2312"/>
          <w:snapToGrid w:val="0"/>
          <w:spacing w:val="-4"/>
          <w:kern w:val="0"/>
          <w:sz w:val="32"/>
          <w:szCs w:val="32"/>
          <w:lang w:val="zh-CN"/>
        </w:rPr>
        <w:t>10</w:t>
      </w:r>
      <w:r>
        <w:rPr>
          <w:rFonts w:eastAsia="仿宋_GB2312"/>
          <w:snapToGrid w:val="0"/>
          <w:spacing w:val="-4"/>
          <w:kern w:val="0"/>
          <w:sz w:val="32"/>
          <w:szCs w:val="32"/>
          <w:lang w:val="zh-CN"/>
        </w:rPr>
        <w:t>余场活动，线下参与人数超过</w:t>
      </w:r>
      <w:r>
        <w:rPr>
          <w:rFonts w:eastAsia="仿宋_GB2312"/>
          <w:snapToGrid w:val="0"/>
          <w:spacing w:val="-4"/>
          <w:kern w:val="0"/>
          <w:sz w:val="32"/>
          <w:szCs w:val="32"/>
          <w:lang w:val="zh-CN"/>
        </w:rPr>
        <w:t>500</w:t>
      </w:r>
      <w:r>
        <w:rPr>
          <w:rFonts w:eastAsia="仿宋_GB2312"/>
          <w:snapToGrid w:val="0"/>
          <w:spacing w:val="-4"/>
          <w:kern w:val="0"/>
          <w:sz w:val="32"/>
          <w:szCs w:val="32"/>
          <w:lang w:val="zh-CN"/>
        </w:rPr>
        <w:t>人次，增强了学生的金融素养和风险防范意识。在暑假期间，区地方金融管理局以街道、社区为抓手，将金融知识科普讲座配送到浦东各个社区街道，共计举办</w:t>
      </w:r>
      <w:r>
        <w:rPr>
          <w:rFonts w:eastAsia="仿宋_GB2312"/>
          <w:snapToGrid w:val="0"/>
          <w:spacing w:val="-4"/>
          <w:kern w:val="0"/>
          <w:sz w:val="32"/>
          <w:szCs w:val="32"/>
          <w:lang w:val="zh-CN"/>
        </w:rPr>
        <w:t>17</w:t>
      </w:r>
      <w:r>
        <w:rPr>
          <w:rFonts w:eastAsia="仿宋_GB2312"/>
          <w:snapToGrid w:val="0"/>
          <w:spacing w:val="-4"/>
          <w:kern w:val="0"/>
          <w:sz w:val="32"/>
          <w:szCs w:val="32"/>
          <w:lang w:val="zh-CN"/>
        </w:rPr>
        <w:t>场活动、覆盖近千人，满意率达到</w:t>
      </w:r>
      <w:r>
        <w:rPr>
          <w:rFonts w:eastAsia="仿宋_GB2312"/>
          <w:snapToGrid w:val="0"/>
          <w:spacing w:val="-4"/>
          <w:kern w:val="0"/>
          <w:sz w:val="32"/>
          <w:szCs w:val="32"/>
          <w:lang w:val="zh-CN"/>
        </w:rPr>
        <w:t>100%</w:t>
      </w:r>
      <w:r>
        <w:rPr>
          <w:rFonts w:eastAsia="仿宋_GB2312"/>
          <w:snapToGrid w:val="0"/>
          <w:spacing w:val="-4"/>
          <w:kern w:val="0"/>
          <w:sz w:val="32"/>
          <w:szCs w:val="32"/>
          <w:lang w:val="zh-CN"/>
        </w:rPr>
        <w:t>。这些活动包括</w:t>
      </w:r>
      <w:r>
        <w:rPr>
          <w:rFonts w:eastAsia="仿宋_GB2312"/>
          <w:snapToGrid w:val="0"/>
          <w:spacing w:val="-4"/>
          <w:kern w:val="0"/>
          <w:sz w:val="32"/>
          <w:szCs w:val="32"/>
          <w:lang w:val="zh-CN"/>
        </w:rPr>
        <w:t>“</w:t>
      </w:r>
      <w:r>
        <w:rPr>
          <w:rFonts w:eastAsia="仿宋_GB2312"/>
          <w:snapToGrid w:val="0"/>
          <w:spacing w:val="-4"/>
          <w:kern w:val="0"/>
          <w:sz w:val="32"/>
          <w:szCs w:val="32"/>
          <w:lang w:val="zh-CN"/>
        </w:rPr>
        <w:t>金融风险早知道</w:t>
      </w:r>
      <w:r>
        <w:rPr>
          <w:rFonts w:eastAsia="仿宋_GB2312"/>
          <w:snapToGrid w:val="0"/>
          <w:spacing w:val="-4"/>
          <w:kern w:val="0"/>
          <w:sz w:val="32"/>
          <w:szCs w:val="32"/>
          <w:lang w:val="zh-CN"/>
        </w:rPr>
        <w:t>”“</w:t>
      </w:r>
      <w:r>
        <w:rPr>
          <w:rFonts w:eastAsia="仿宋_GB2312"/>
          <w:snapToGrid w:val="0"/>
          <w:spacing w:val="-4"/>
          <w:kern w:val="0"/>
          <w:sz w:val="32"/>
          <w:szCs w:val="32"/>
          <w:lang w:val="zh-CN"/>
        </w:rPr>
        <w:t>认识身边的金融机构</w:t>
      </w:r>
      <w:r>
        <w:rPr>
          <w:rFonts w:eastAsia="仿宋_GB2312"/>
          <w:snapToGrid w:val="0"/>
          <w:spacing w:val="-4"/>
          <w:kern w:val="0"/>
          <w:sz w:val="32"/>
          <w:szCs w:val="32"/>
          <w:lang w:val="zh-CN"/>
        </w:rPr>
        <w:t>”“</w:t>
      </w:r>
      <w:r>
        <w:rPr>
          <w:rFonts w:eastAsia="仿宋_GB2312"/>
          <w:snapToGrid w:val="0"/>
          <w:spacing w:val="-4"/>
          <w:kern w:val="0"/>
          <w:sz w:val="32"/>
          <w:szCs w:val="32"/>
          <w:lang w:val="zh-CN"/>
        </w:rPr>
        <w:t>反诈小卫士</w:t>
      </w:r>
      <w:r>
        <w:rPr>
          <w:rFonts w:eastAsia="仿宋_GB2312"/>
          <w:snapToGrid w:val="0"/>
          <w:spacing w:val="-4"/>
          <w:kern w:val="0"/>
          <w:sz w:val="32"/>
          <w:szCs w:val="32"/>
          <w:lang w:val="zh-CN"/>
        </w:rPr>
        <w:t>”“</w:t>
      </w:r>
      <w:r>
        <w:rPr>
          <w:rFonts w:eastAsia="仿宋_GB2312"/>
          <w:snapToGrid w:val="0"/>
          <w:spacing w:val="-4"/>
          <w:kern w:val="0"/>
          <w:sz w:val="32"/>
          <w:szCs w:val="32"/>
          <w:lang w:val="zh-CN"/>
        </w:rPr>
        <w:t>认识货币和支付安全</w:t>
      </w:r>
      <w:r>
        <w:rPr>
          <w:rFonts w:eastAsia="仿宋_GB2312"/>
          <w:snapToGrid w:val="0"/>
          <w:spacing w:val="-4"/>
          <w:kern w:val="0"/>
          <w:sz w:val="32"/>
          <w:szCs w:val="32"/>
          <w:lang w:val="zh-CN"/>
        </w:rPr>
        <w:t>”</w:t>
      </w:r>
      <w:r>
        <w:rPr>
          <w:rFonts w:eastAsia="仿宋_GB2312"/>
          <w:snapToGrid w:val="0"/>
          <w:spacing w:val="-4"/>
          <w:kern w:val="0"/>
          <w:sz w:val="32"/>
          <w:szCs w:val="32"/>
          <w:lang w:val="zh-CN"/>
        </w:rPr>
        <w:t>等主题，覆盖了塘桥、张江、北蔡、高行等</w:t>
      </w:r>
      <w:r>
        <w:rPr>
          <w:rFonts w:eastAsia="仿宋_GB2312"/>
          <w:snapToGrid w:val="0"/>
          <w:spacing w:val="-4"/>
          <w:kern w:val="0"/>
          <w:sz w:val="32"/>
          <w:szCs w:val="32"/>
          <w:lang w:val="zh-CN"/>
        </w:rPr>
        <w:t>10</w:t>
      </w:r>
      <w:r>
        <w:rPr>
          <w:rFonts w:eastAsia="仿宋_GB2312"/>
          <w:snapToGrid w:val="0"/>
          <w:spacing w:val="-4"/>
          <w:kern w:val="0"/>
          <w:sz w:val="32"/>
          <w:szCs w:val="32"/>
          <w:lang w:val="zh-CN"/>
        </w:rPr>
        <w:t>多个街镇。线上投教资料及活动内容也加大投送力度，</w:t>
      </w:r>
      <w:r>
        <w:rPr>
          <w:rFonts w:eastAsia="仿宋_GB2312"/>
          <w:snapToGrid w:val="0"/>
          <w:spacing w:val="-4"/>
          <w:kern w:val="0"/>
          <w:sz w:val="32"/>
          <w:szCs w:val="32"/>
        </w:rPr>
        <w:t>2024</w:t>
      </w:r>
      <w:r>
        <w:rPr>
          <w:rFonts w:eastAsia="仿宋_GB2312"/>
          <w:snapToGrid w:val="0"/>
          <w:spacing w:val="-4"/>
          <w:kern w:val="0"/>
          <w:sz w:val="32"/>
          <w:szCs w:val="32"/>
        </w:rPr>
        <w:t>年</w:t>
      </w:r>
      <w:r>
        <w:rPr>
          <w:rFonts w:eastAsia="仿宋_GB2312"/>
          <w:snapToGrid w:val="0"/>
          <w:spacing w:val="-4"/>
          <w:kern w:val="0"/>
          <w:sz w:val="32"/>
          <w:szCs w:val="32"/>
          <w:lang w:val="zh-CN"/>
        </w:rPr>
        <w:t>公众号和视频号播放量达到了</w:t>
      </w:r>
      <w:r>
        <w:rPr>
          <w:rFonts w:eastAsia="仿宋_GB2312"/>
          <w:snapToGrid w:val="0"/>
          <w:spacing w:val="-4"/>
          <w:kern w:val="0"/>
          <w:sz w:val="32"/>
          <w:szCs w:val="32"/>
          <w:lang w:val="zh-CN"/>
        </w:rPr>
        <w:t>5000+</w:t>
      </w:r>
      <w:r>
        <w:rPr>
          <w:rFonts w:eastAsia="仿宋_GB2312"/>
          <w:snapToGrid w:val="0"/>
          <w:spacing w:val="-4"/>
          <w:kern w:val="0"/>
          <w:sz w:val="32"/>
          <w:szCs w:val="32"/>
          <w:lang w:val="zh-CN"/>
        </w:rPr>
        <w:t>人次，浦东投资者教育基地志愿者服务时长近</w:t>
      </w:r>
      <w:r>
        <w:rPr>
          <w:rFonts w:eastAsia="仿宋_GB2312"/>
          <w:snapToGrid w:val="0"/>
          <w:spacing w:val="-4"/>
          <w:kern w:val="0"/>
          <w:sz w:val="32"/>
          <w:szCs w:val="32"/>
          <w:lang w:val="zh-CN"/>
        </w:rPr>
        <w:t>700</w:t>
      </w:r>
      <w:r>
        <w:rPr>
          <w:rFonts w:eastAsia="仿宋_GB2312"/>
          <w:snapToGrid w:val="0"/>
          <w:spacing w:val="-4"/>
          <w:kern w:val="0"/>
          <w:sz w:val="32"/>
          <w:szCs w:val="32"/>
          <w:lang w:val="zh-CN"/>
        </w:rPr>
        <w:t>小时，服务大众人数达</w:t>
      </w:r>
      <w:r>
        <w:rPr>
          <w:rFonts w:eastAsia="仿宋_GB2312"/>
          <w:snapToGrid w:val="0"/>
          <w:spacing w:val="-4"/>
          <w:kern w:val="0"/>
          <w:sz w:val="32"/>
          <w:szCs w:val="32"/>
          <w:lang w:val="zh-CN"/>
        </w:rPr>
        <w:t>1286</w:t>
      </w:r>
      <w:r>
        <w:rPr>
          <w:rFonts w:eastAsia="仿宋_GB2312"/>
          <w:snapToGrid w:val="0"/>
          <w:spacing w:val="-4"/>
          <w:kern w:val="0"/>
          <w:sz w:val="32"/>
          <w:szCs w:val="32"/>
          <w:lang w:val="zh-CN"/>
        </w:rPr>
        <w:t>人，满意率达到</w:t>
      </w:r>
      <w:r>
        <w:rPr>
          <w:rFonts w:eastAsia="仿宋_GB2312"/>
          <w:snapToGrid w:val="0"/>
          <w:spacing w:val="-4"/>
          <w:kern w:val="0"/>
          <w:sz w:val="32"/>
          <w:szCs w:val="32"/>
          <w:lang w:val="zh-CN"/>
        </w:rPr>
        <w:t>100%</w:t>
      </w:r>
      <w:r>
        <w:rPr>
          <w:rFonts w:eastAsia="仿宋_GB2312"/>
          <w:snapToGrid w:val="0"/>
          <w:spacing w:val="-4"/>
          <w:kern w:val="0"/>
          <w:sz w:val="32"/>
          <w:szCs w:val="32"/>
          <w:lang w:val="zh-CN"/>
        </w:rPr>
        <w:t>。通过这一年的金融普法常态化工作，进一步提升了浦东人民群众的金融风险防范意识，助推了</w:t>
      </w:r>
      <w:r>
        <w:rPr>
          <w:rFonts w:eastAsia="仿宋_GB2312"/>
          <w:snapToGrid w:val="0"/>
          <w:spacing w:val="-4"/>
          <w:kern w:val="0"/>
          <w:sz w:val="32"/>
          <w:szCs w:val="32"/>
          <w:lang w:val="zh-CN"/>
        </w:rPr>
        <w:t>“</w:t>
      </w:r>
      <w:r>
        <w:rPr>
          <w:rFonts w:eastAsia="仿宋_GB2312"/>
          <w:snapToGrid w:val="0"/>
          <w:spacing w:val="-4"/>
          <w:kern w:val="0"/>
          <w:sz w:val="32"/>
          <w:szCs w:val="32"/>
          <w:lang w:val="zh-CN"/>
        </w:rPr>
        <w:t>社区法治生活圈</w:t>
      </w:r>
      <w:r>
        <w:rPr>
          <w:rFonts w:eastAsia="仿宋_GB2312"/>
          <w:snapToGrid w:val="0"/>
          <w:spacing w:val="-4"/>
          <w:kern w:val="0"/>
          <w:sz w:val="32"/>
          <w:szCs w:val="32"/>
          <w:lang w:val="zh-CN"/>
        </w:rPr>
        <w:t>”</w:t>
      </w:r>
      <w:r>
        <w:rPr>
          <w:rFonts w:eastAsia="仿宋_GB2312"/>
          <w:snapToGrid w:val="0"/>
          <w:spacing w:val="-4"/>
          <w:kern w:val="0"/>
          <w:sz w:val="32"/>
          <w:szCs w:val="32"/>
          <w:lang w:val="zh-CN"/>
        </w:rPr>
        <w:t>建设。</w:t>
      </w:r>
    </w:p>
    <w:p w:rsidR="00040515" w:rsidRDefault="00D07CDF">
      <w:pPr>
        <w:pStyle w:val="a7"/>
        <w:widowControl/>
        <w:shd w:val="clear" w:color="auto" w:fill="FFFFFF"/>
        <w:adjustRightInd w:val="0"/>
        <w:snapToGrid w:val="0"/>
        <w:spacing w:beforeAutospacing="0" w:afterAutospacing="0" w:line="600" w:lineRule="exact"/>
        <w:ind w:firstLineChars="200" w:firstLine="624"/>
        <w:jc w:val="both"/>
        <w:rPr>
          <w:rFonts w:eastAsia="仿宋_GB2312"/>
          <w:snapToGrid w:val="0"/>
          <w:spacing w:val="-4"/>
          <w:sz w:val="32"/>
          <w:szCs w:val="32"/>
          <w:lang w:val="zh-CN"/>
        </w:rPr>
      </w:pPr>
      <w:r>
        <w:rPr>
          <w:rFonts w:ascii="仿宋_GB2312" w:eastAsia="仿宋_GB2312" w:hAnsi="仿宋_GB2312" w:cs="仿宋_GB2312" w:hint="eastAsia"/>
          <w:snapToGrid w:val="0"/>
          <w:spacing w:val="-4"/>
          <w:sz w:val="32"/>
          <w:szCs w:val="32"/>
          <w:lang w:val="zh-CN"/>
        </w:rPr>
        <w:t>总体来看，</w:t>
      </w:r>
      <w:r>
        <w:rPr>
          <w:rFonts w:eastAsia="仿宋_GB2312"/>
          <w:snapToGrid w:val="0"/>
          <w:spacing w:val="-4"/>
          <w:sz w:val="32"/>
          <w:szCs w:val="32"/>
          <w:lang w:val="zh-CN"/>
        </w:rPr>
        <w:t>2024</w:t>
      </w:r>
      <w:r>
        <w:rPr>
          <w:rFonts w:ascii="仿宋_GB2312" w:eastAsia="仿宋_GB2312" w:hAnsi="仿宋_GB2312" w:cs="仿宋_GB2312" w:hint="eastAsia"/>
          <w:snapToGrid w:val="0"/>
          <w:spacing w:val="-4"/>
          <w:sz w:val="32"/>
          <w:szCs w:val="32"/>
          <w:lang w:val="zh-CN"/>
        </w:rPr>
        <w:t>年区地方金融管理局在尊法、学法、守法、用法等方面取得了阶段性成效。但面临新形势新环境，还需要推进学习贯彻习近平法治思想走深走实，还需要结合本区经济社会</w:t>
      </w:r>
      <w:r>
        <w:rPr>
          <w:rFonts w:ascii="仿宋_GB2312" w:eastAsia="仿宋_GB2312" w:hAnsi="仿宋_GB2312" w:cs="仿宋_GB2312" w:hint="eastAsia"/>
          <w:snapToGrid w:val="0"/>
          <w:spacing w:val="-4"/>
          <w:sz w:val="32"/>
          <w:szCs w:val="32"/>
          <w:lang w:val="zh-CN"/>
        </w:rPr>
        <w:t>发展及本部门工作实际不断深化。主要表现在两个方面：</w:t>
      </w:r>
      <w:r>
        <w:rPr>
          <w:rFonts w:eastAsia="仿宋_GB2312"/>
          <w:b/>
          <w:bCs/>
          <w:snapToGrid w:val="0"/>
          <w:spacing w:val="-4"/>
          <w:sz w:val="32"/>
          <w:szCs w:val="32"/>
          <w:lang w:val="zh-CN"/>
        </w:rPr>
        <w:t>一是工作意识方面，</w:t>
      </w:r>
      <w:r>
        <w:rPr>
          <w:rFonts w:ascii="仿宋_GB2312" w:eastAsia="仿宋_GB2312" w:hAnsi="仿宋_GB2312" w:cs="仿宋_GB2312" w:hint="eastAsia"/>
          <w:snapToGrid w:val="0"/>
          <w:spacing w:val="-4"/>
          <w:sz w:val="32"/>
          <w:szCs w:val="32"/>
          <w:lang w:val="zh-CN"/>
        </w:rPr>
        <w:t>机关干部运用法治思想和法治方式开展工作的意识还有待进一步提升，法治建设和业务工作高度融合的程度还不够。</w:t>
      </w:r>
      <w:r>
        <w:rPr>
          <w:rFonts w:eastAsia="仿宋_GB2312" w:hint="eastAsia"/>
          <w:b/>
          <w:bCs/>
          <w:snapToGrid w:val="0"/>
          <w:spacing w:val="-4"/>
          <w:sz w:val="32"/>
          <w:szCs w:val="32"/>
          <w:lang w:val="zh-CN"/>
        </w:rPr>
        <w:t>二</w:t>
      </w:r>
      <w:r>
        <w:rPr>
          <w:rFonts w:eastAsia="仿宋_GB2312"/>
          <w:b/>
          <w:bCs/>
          <w:snapToGrid w:val="0"/>
          <w:spacing w:val="-4"/>
          <w:sz w:val="32"/>
          <w:szCs w:val="32"/>
          <w:lang w:val="zh-CN"/>
        </w:rPr>
        <w:t>是职责明确方面，</w:t>
      </w:r>
      <w:r>
        <w:rPr>
          <w:rFonts w:ascii="仿宋_GB2312" w:eastAsia="仿宋_GB2312" w:hAnsi="仿宋_GB2312" w:cs="仿宋_GB2312" w:hint="eastAsia"/>
          <w:snapToGrid w:val="0"/>
          <w:spacing w:val="-4"/>
          <w:sz w:val="32"/>
          <w:szCs w:val="32"/>
          <w:lang w:val="zh-CN"/>
        </w:rPr>
        <w:t>由于金融主要属于国家事权等客观原因，</w:t>
      </w:r>
      <w:r>
        <w:rPr>
          <w:rFonts w:ascii="仿宋_GB2312" w:eastAsia="仿宋_GB2312" w:hAnsi="仿宋_GB2312" w:cs="仿宋_GB2312" w:hint="eastAsia"/>
          <w:snapToGrid w:val="0"/>
          <w:spacing w:val="-4"/>
          <w:sz w:val="32"/>
          <w:szCs w:val="32"/>
          <w:lang w:val="zh-CN"/>
        </w:rPr>
        <w:lastRenderedPageBreak/>
        <w:t>在法治建设过程中，还需探索依法行政的权限和边界，强化央地协作，进一步提高履职效率和水平。</w:t>
      </w:r>
    </w:p>
    <w:p w:rsidR="00040515" w:rsidRDefault="00D07CDF">
      <w:pPr>
        <w:pStyle w:val="3"/>
        <w:spacing w:line="560" w:lineRule="exact"/>
        <w:rPr>
          <w:rFonts w:ascii="Times New Roman" w:eastAsia="黑体" w:hAnsi="Times New Roman" w:cs="Times New Roman"/>
        </w:rPr>
      </w:pPr>
      <w:r>
        <w:rPr>
          <w:rFonts w:ascii="Times New Roman" w:eastAsia="黑体" w:hAnsi="Times New Roman" w:cs="Times New Roman" w:hint="eastAsia"/>
        </w:rPr>
        <w:t>二</w:t>
      </w:r>
      <w:r>
        <w:rPr>
          <w:rFonts w:ascii="Times New Roman" w:eastAsia="黑体" w:hAnsi="Times New Roman" w:cs="Times New Roman"/>
        </w:rPr>
        <w:t>、下阶段工作</w:t>
      </w:r>
      <w:r>
        <w:rPr>
          <w:rFonts w:ascii="Times New Roman" w:eastAsia="黑体" w:hAnsi="Times New Roman" w:cs="Times New Roman" w:hint="eastAsia"/>
        </w:rPr>
        <w:t>计划</w:t>
      </w:r>
    </w:p>
    <w:p w:rsidR="00040515" w:rsidRDefault="00D07CDF">
      <w:pPr>
        <w:pStyle w:val="a7"/>
        <w:widowControl/>
        <w:shd w:val="clear" w:color="auto" w:fill="FFFFFF"/>
        <w:adjustRightInd w:val="0"/>
        <w:snapToGrid w:val="0"/>
        <w:spacing w:beforeAutospacing="0" w:afterAutospacing="0" w:line="600" w:lineRule="exact"/>
        <w:ind w:firstLineChars="200" w:firstLine="624"/>
        <w:jc w:val="both"/>
        <w:rPr>
          <w:rFonts w:eastAsia="仿宋_GB2312"/>
          <w:snapToGrid w:val="0"/>
          <w:spacing w:val="-4"/>
          <w:sz w:val="32"/>
          <w:szCs w:val="32"/>
          <w:lang w:val="zh-CN"/>
        </w:rPr>
      </w:pPr>
      <w:r>
        <w:rPr>
          <w:rFonts w:eastAsia="仿宋_GB2312" w:hint="eastAsia"/>
          <w:snapToGrid w:val="0"/>
          <w:spacing w:val="-4"/>
          <w:sz w:val="32"/>
          <w:szCs w:val="32"/>
        </w:rPr>
        <w:t>2025</w:t>
      </w:r>
      <w:r>
        <w:rPr>
          <w:rFonts w:ascii="仿宋_GB2312" w:eastAsia="仿宋_GB2312" w:hAnsi="仿宋_GB2312" w:cs="仿宋_GB2312" w:hint="eastAsia"/>
          <w:snapToGrid w:val="0"/>
          <w:spacing w:val="-4"/>
          <w:sz w:val="32"/>
          <w:szCs w:val="32"/>
          <w:lang w:val="zh-CN"/>
        </w:rPr>
        <w:t>年，以习近平新时代中国特色社会主义思想为指导，贯彻区委区政府关于法治政府建设的重大决策部署，区地方金融管理局及主要负责人将坚决履行好法治建设职责，把落实法治建设责任制同推进浦东金融高质量发展共同谋划推进，为引领区金融改革创新、国际金融中心核心区建设提供强有力的法治支撑保障。主要开展三方面工作：</w:t>
      </w:r>
    </w:p>
    <w:p w:rsidR="00040515" w:rsidRDefault="00D07CDF">
      <w:pPr>
        <w:pStyle w:val="a7"/>
        <w:widowControl/>
        <w:shd w:val="clear" w:color="auto" w:fill="FFFFFF"/>
        <w:adjustRightInd w:val="0"/>
        <w:snapToGrid w:val="0"/>
        <w:spacing w:beforeAutospacing="0" w:afterAutospacing="0" w:line="600" w:lineRule="exact"/>
        <w:ind w:firstLineChars="200" w:firstLine="627"/>
        <w:jc w:val="both"/>
        <w:rPr>
          <w:rFonts w:eastAsia="仿宋_GB2312"/>
          <w:snapToGrid w:val="0"/>
          <w:spacing w:val="-4"/>
          <w:sz w:val="32"/>
          <w:szCs w:val="32"/>
          <w:lang w:val="zh-CN"/>
        </w:rPr>
      </w:pPr>
      <w:r>
        <w:rPr>
          <w:rFonts w:ascii="楷体_GB2312" w:eastAsia="楷体_GB2312" w:hAnsi="楷体_GB2312" w:cs="楷体_GB2312" w:hint="eastAsia"/>
          <w:b/>
          <w:bCs/>
          <w:snapToGrid w:val="0"/>
          <w:spacing w:val="-4"/>
          <w:sz w:val="32"/>
          <w:szCs w:val="32"/>
          <w:lang w:val="zh-CN"/>
        </w:rPr>
        <w:t>一是扎实做好法治队伍建设。</w:t>
      </w:r>
      <w:r>
        <w:rPr>
          <w:rFonts w:ascii="仿宋_GB2312" w:eastAsia="仿宋_GB2312" w:hAnsi="仿宋_GB2312" w:cs="仿宋_GB2312" w:hint="eastAsia"/>
          <w:snapToGrid w:val="0"/>
          <w:spacing w:val="-4"/>
          <w:sz w:val="32"/>
          <w:szCs w:val="32"/>
          <w:lang w:val="zh-CN"/>
        </w:rPr>
        <w:t>注重法治人才培养，把法治素养和依法履职情况纳入考核评价干部的重要内容，让尊法学法守法用法成为干部自觉行为和必备素质，切实提升全局干部的法治意识和依法开展工作能力。</w:t>
      </w:r>
    </w:p>
    <w:p w:rsidR="00040515" w:rsidRDefault="00D07CDF">
      <w:pPr>
        <w:pStyle w:val="a7"/>
        <w:widowControl/>
        <w:shd w:val="clear" w:color="auto" w:fill="FFFFFF"/>
        <w:adjustRightInd w:val="0"/>
        <w:snapToGrid w:val="0"/>
        <w:spacing w:beforeAutospacing="0" w:afterAutospacing="0" w:line="600" w:lineRule="exact"/>
        <w:ind w:firstLineChars="200" w:firstLine="627"/>
        <w:jc w:val="both"/>
        <w:rPr>
          <w:rFonts w:eastAsia="仿宋_GB2312"/>
          <w:b/>
          <w:bCs/>
          <w:snapToGrid w:val="0"/>
          <w:spacing w:val="-4"/>
          <w:sz w:val="32"/>
          <w:szCs w:val="32"/>
          <w:lang w:val="zh-CN"/>
        </w:rPr>
      </w:pPr>
      <w:r>
        <w:rPr>
          <w:rFonts w:ascii="楷体_GB2312" w:eastAsia="楷体_GB2312" w:hAnsi="楷体_GB2312" w:cs="楷体_GB2312" w:hint="eastAsia"/>
          <w:b/>
          <w:bCs/>
          <w:snapToGrid w:val="0"/>
          <w:spacing w:val="-4"/>
          <w:sz w:val="32"/>
          <w:szCs w:val="32"/>
          <w:lang w:val="zh-CN"/>
        </w:rPr>
        <w:t>二是联合各方积极推进立法。</w:t>
      </w:r>
      <w:r>
        <w:rPr>
          <w:rFonts w:ascii="仿宋_GB2312" w:eastAsia="仿宋_GB2312" w:hAnsi="仿宋_GB2312" w:cs="仿宋_GB2312" w:hint="eastAsia"/>
          <w:snapToGrid w:val="0"/>
          <w:spacing w:val="-4"/>
          <w:sz w:val="32"/>
          <w:szCs w:val="32"/>
          <w:lang w:val="zh-CN"/>
        </w:rPr>
        <w:t>用足用好浦东新区法规立法授权，与市区相关部门多方联动，</w:t>
      </w:r>
      <w:r>
        <w:rPr>
          <w:rFonts w:ascii="仿宋_GB2312" w:eastAsia="仿宋_GB2312" w:hAnsi="仿宋_GB2312" w:cs="仿宋_GB2312" w:hint="eastAsia"/>
          <w:snapToGrid w:val="0"/>
          <w:spacing w:val="-4"/>
          <w:sz w:val="32"/>
          <w:szCs w:val="32"/>
          <w:lang w:val="zh-CN"/>
        </w:rPr>
        <w:t>聚焦更多金融重点领域，</w:t>
      </w:r>
      <w:r>
        <w:rPr>
          <w:rFonts w:ascii="仿宋_GB2312" w:eastAsia="仿宋_GB2312" w:hAnsi="仿宋_GB2312" w:cs="仿宋_GB2312" w:hint="eastAsia"/>
          <w:snapToGrid w:val="0"/>
          <w:spacing w:val="-4"/>
          <w:sz w:val="32"/>
          <w:szCs w:val="32"/>
          <w:lang w:val="zh-CN"/>
        </w:rPr>
        <w:t>共同推动新的立法项目，形成工作合力，切实提升法治保障金融高质量发展实效。强化立法成果宣传推广，重点推进优化自由贸易账户法规落地实施，继续做好绿色金融法规和融资租赁法规落实落地工作。</w:t>
      </w:r>
    </w:p>
    <w:p w:rsidR="00040515" w:rsidRDefault="00D07CDF">
      <w:pPr>
        <w:pStyle w:val="a7"/>
        <w:widowControl/>
        <w:shd w:val="clear" w:color="auto" w:fill="FFFFFF"/>
        <w:adjustRightInd w:val="0"/>
        <w:snapToGrid w:val="0"/>
        <w:spacing w:beforeAutospacing="0" w:afterAutospacing="0" w:line="600" w:lineRule="exact"/>
        <w:ind w:firstLineChars="200" w:firstLine="627"/>
        <w:jc w:val="both"/>
        <w:rPr>
          <w:rFonts w:ascii="黑体" w:eastAsia="黑体" w:hAnsi="黑体"/>
          <w:sz w:val="32"/>
          <w:szCs w:val="32"/>
        </w:rPr>
      </w:pPr>
      <w:r>
        <w:rPr>
          <w:rFonts w:ascii="楷体_GB2312" w:eastAsia="楷体_GB2312" w:hAnsi="楷体_GB2312" w:cs="楷体_GB2312" w:hint="eastAsia"/>
          <w:b/>
          <w:bCs/>
          <w:snapToGrid w:val="0"/>
          <w:spacing w:val="-4"/>
          <w:sz w:val="32"/>
          <w:szCs w:val="32"/>
          <w:lang w:val="zh-CN"/>
        </w:rPr>
        <w:t>三是大力推进法治工作与金融工作紧密融合。</w:t>
      </w:r>
      <w:r>
        <w:rPr>
          <w:rFonts w:eastAsia="仿宋_GB2312"/>
          <w:snapToGrid w:val="0"/>
          <w:spacing w:val="-4"/>
          <w:sz w:val="32"/>
          <w:szCs w:val="32"/>
          <w:lang w:val="zh-CN"/>
        </w:rPr>
        <w:t>深入学习贯彻习近平法治思想，继续推进宪法、民法典和金融相关法规的学习</w:t>
      </w:r>
      <w:r>
        <w:rPr>
          <w:rFonts w:eastAsia="仿宋_GB2312"/>
          <w:snapToGrid w:val="0"/>
          <w:spacing w:val="-4"/>
          <w:sz w:val="32"/>
          <w:szCs w:val="32"/>
          <w:lang w:val="zh-CN"/>
        </w:rPr>
        <w:lastRenderedPageBreak/>
        <w:t>宣传教育，全面推进普法责任制，</w:t>
      </w:r>
      <w:r>
        <w:rPr>
          <w:rFonts w:eastAsia="仿宋_GB2312" w:hint="eastAsia"/>
          <w:snapToGrid w:val="0"/>
          <w:spacing w:val="-4"/>
          <w:sz w:val="32"/>
          <w:szCs w:val="32"/>
          <w:lang w:val="zh-CN"/>
        </w:rPr>
        <w:t>有序做好行政规范性文件管理、政务公开、行政复议、行政诉讼、法治研究等各项工作，将法治工作与金融业务工作有机结合，着力</w:t>
      </w:r>
      <w:r>
        <w:rPr>
          <w:rFonts w:eastAsia="仿宋_GB2312"/>
          <w:snapToGrid w:val="0"/>
          <w:spacing w:val="-4"/>
          <w:sz w:val="32"/>
          <w:szCs w:val="32"/>
          <w:lang w:val="zh-CN"/>
        </w:rPr>
        <w:t>构建权责清晰、依法行政的地方金融治理体系。</w:t>
      </w:r>
    </w:p>
    <w:p w:rsidR="00040515" w:rsidRDefault="00D07CDF">
      <w:pPr>
        <w:spacing w:line="560" w:lineRule="exact"/>
        <w:ind w:firstLineChars="200" w:firstLine="640"/>
        <w:rPr>
          <w:rFonts w:eastAsia="仿宋_GB2312"/>
          <w:sz w:val="32"/>
          <w:szCs w:val="32"/>
        </w:rPr>
      </w:pPr>
      <w:r>
        <w:rPr>
          <w:rFonts w:eastAsia="仿宋_GB2312" w:hint="eastAsia"/>
          <w:sz w:val="32"/>
          <w:szCs w:val="32"/>
        </w:rPr>
        <w:t>特此报告。</w:t>
      </w:r>
    </w:p>
    <w:p w:rsidR="00040515" w:rsidRDefault="00040515">
      <w:pPr>
        <w:tabs>
          <w:tab w:val="left" w:pos="3446"/>
        </w:tabs>
        <w:spacing w:line="440" w:lineRule="exact"/>
        <w:ind w:firstLineChars="1000" w:firstLine="3200"/>
        <w:rPr>
          <w:rFonts w:eastAsia="仿宋_GB2312"/>
          <w:sz w:val="32"/>
          <w:szCs w:val="32"/>
        </w:rPr>
      </w:pPr>
    </w:p>
    <w:p w:rsidR="00040515" w:rsidRDefault="00040515">
      <w:pPr>
        <w:tabs>
          <w:tab w:val="left" w:pos="3446"/>
        </w:tabs>
        <w:spacing w:line="440" w:lineRule="exact"/>
        <w:ind w:firstLineChars="1000" w:firstLine="3200"/>
        <w:rPr>
          <w:rFonts w:eastAsia="仿宋_GB2312"/>
          <w:sz w:val="32"/>
          <w:szCs w:val="32"/>
        </w:rPr>
      </w:pPr>
    </w:p>
    <w:p w:rsidR="00040515" w:rsidRDefault="00040515">
      <w:pPr>
        <w:spacing w:line="440" w:lineRule="exact"/>
        <w:rPr>
          <w:rFonts w:eastAsia="仿宋_GB2312"/>
          <w:sz w:val="32"/>
          <w:szCs w:val="32"/>
        </w:rPr>
      </w:pPr>
    </w:p>
    <w:p w:rsidR="00040515" w:rsidRDefault="00040515">
      <w:pPr>
        <w:ind w:right="1710"/>
        <w:rPr>
          <w:rFonts w:eastAsia="仿宋_GB2312"/>
          <w:sz w:val="32"/>
          <w:szCs w:val="32"/>
        </w:rPr>
      </w:pPr>
      <w:bookmarkStart w:id="8" w:name="正文结束"/>
      <w:bookmarkEnd w:id="8"/>
    </w:p>
    <w:p w:rsidR="00040515" w:rsidRDefault="00040515">
      <w:pPr>
        <w:ind w:right="1150"/>
        <w:jc w:val="right"/>
        <w:rPr>
          <w:rFonts w:eastAsia="仿宋_GB2312"/>
          <w:sz w:val="32"/>
          <w:szCs w:val="32"/>
        </w:rPr>
      </w:pPr>
    </w:p>
    <w:p w:rsidR="00040515" w:rsidRDefault="00040515">
      <w:pPr>
        <w:ind w:right="1710"/>
        <w:rPr>
          <w:rFonts w:eastAsia="仿宋_GB2312"/>
          <w:sz w:val="32"/>
          <w:szCs w:val="32"/>
        </w:rPr>
      </w:pPr>
    </w:p>
    <w:sectPr w:rsidR="00040515">
      <w:headerReference w:type="default" r:id="rId7"/>
      <w:footerReference w:type="even" r:id="rId8"/>
      <w:footerReference w:type="default" r:id="rId9"/>
      <w:pgSz w:w="11906" w:h="16838"/>
      <w:pgMar w:top="2098" w:right="1588" w:bottom="209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DF" w:rsidRDefault="00D07CDF">
      <w:r>
        <w:separator/>
      </w:r>
    </w:p>
  </w:endnote>
  <w:endnote w:type="continuationSeparator" w:id="0">
    <w:p w:rsidR="00D07CDF" w:rsidRDefault="00D0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15" w:rsidRDefault="00D07CDF">
    <w:pPr>
      <w:pStyle w:val="a5"/>
    </w:pPr>
    <w:r>
      <w:fldChar w:fldCharType="begin"/>
    </w:r>
    <w:r>
      <w:instrText>PAGE   \* MERGEFORMAT</w:instrText>
    </w:r>
    <w:r>
      <w:fldChar w:fldCharType="separate"/>
    </w:r>
    <w:r w:rsidR="00A350D6" w:rsidRPr="00A350D6">
      <w:rPr>
        <w:noProof/>
        <w:lang w:val="zh-CN"/>
      </w:rPr>
      <w:t>-</w:t>
    </w:r>
    <w:r w:rsidR="00A350D6">
      <w:rPr>
        <w:noProof/>
      </w:rPr>
      <w:t xml:space="preserve"> 2 -</w:t>
    </w:r>
    <w:r>
      <w:fldChar w:fldCharType="end"/>
    </w:r>
  </w:p>
  <w:p w:rsidR="00040515" w:rsidRDefault="000405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15" w:rsidRDefault="00D07CDF">
    <w:pPr>
      <w:pStyle w:val="a5"/>
      <w:jc w:val="right"/>
    </w:pPr>
    <w:r>
      <w:fldChar w:fldCharType="begin"/>
    </w:r>
    <w:r>
      <w:instrText>PAGE   \* MERGEFORMAT</w:instrText>
    </w:r>
    <w:r>
      <w:fldChar w:fldCharType="separate"/>
    </w:r>
    <w:r w:rsidR="00A350D6" w:rsidRPr="00A350D6">
      <w:rPr>
        <w:noProof/>
        <w:lang w:val="zh-CN"/>
      </w:rPr>
      <w:t>-</w:t>
    </w:r>
    <w:r w:rsidR="00A350D6">
      <w:rPr>
        <w:noProof/>
      </w:rPr>
      <w:t xml:space="preserve"> 1 -</w:t>
    </w:r>
    <w:r>
      <w:fldChar w:fldCharType="end"/>
    </w:r>
  </w:p>
  <w:p w:rsidR="00040515" w:rsidRDefault="000405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DF" w:rsidRDefault="00D07CDF">
      <w:r>
        <w:separator/>
      </w:r>
    </w:p>
  </w:footnote>
  <w:footnote w:type="continuationSeparator" w:id="0">
    <w:p w:rsidR="00D07CDF" w:rsidRDefault="00D07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15" w:rsidRDefault="00040515">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evenAndOddHeaders/>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CA"/>
    <w:rsid w:val="8F3E710D"/>
    <w:rsid w:val="9A666005"/>
    <w:rsid w:val="BB5BF19A"/>
    <w:rsid w:val="BBB6C4E7"/>
    <w:rsid w:val="BD77207C"/>
    <w:rsid w:val="BE670A18"/>
    <w:rsid w:val="E6AF6B69"/>
    <w:rsid w:val="EDECA804"/>
    <w:rsid w:val="F6BFE46E"/>
    <w:rsid w:val="FEFAAFC7"/>
    <w:rsid w:val="00015C38"/>
    <w:rsid w:val="00040515"/>
    <w:rsid w:val="00043E49"/>
    <w:rsid w:val="000801B4"/>
    <w:rsid w:val="000C054F"/>
    <w:rsid w:val="000C5887"/>
    <w:rsid w:val="00162862"/>
    <w:rsid w:val="001A265B"/>
    <w:rsid w:val="001B28F3"/>
    <w:rsid w:val="001B5673"/>
    <w:rsid w:val="001D30BF"/>
    <w:rsid w:val="001F2761"/>
    <w:rsid w:val="00204F92"/>
    <w:rsid w:val="00230E8F"/>
    <w:rsid w:val="00250F6C"/>
    <w:rsid w:val="002922E1"/>
    <w:rsid w:val="002C36A7"/>
    <w:rsid w:val="00336D3F"/>
    <w:rsid w:val="00404228"/>
    <w:rsid w:val="0042511E"/>
    <w:rsid w:val="004A49C9"/>
    <w:rsid w:val="004B5570"/>
    <w:rsid w:val="005C6B92"/>
    <w:rsid w:val="006363FD"/>
    <w:rsid w:val="0063670A"/>
    <w:rsid w:val="0065035E"/>
    <w:rsid w:val="00664E28"/>
    <w:rsid w:val="00686A9D"/>
    <w:rsid w:val="006969A9"/>
    <w:rsid w:val="006B45AD"/>
    <w:rsid w:val="006D698A"/>
    <w:rsid w:val="006F3024"/>
    <w:rsid w:val="00703E10"/>
    <w:rsid w:val="00733523"/>
    <w:rsid w:val="00751E4D"/>
    <w:rsid w:val="00762B04"/>
    <w:rsid w:val="00782F56"/>
    <w:rsid w:val="007D631B"/>
    <w:rsid w:val="00833FBD"/>
    <w:rsid w:val="00890378"/>
    <w:rsid w:val="00931C97"/>
    <w:rsid w:val="00934F6B"/>
    <w:rsid w:val="009519B8"/>
    <w:rsid w:val="009B3345"/>
    <w:rsid w:val="009C3AC0"/>
    <w:rsid w:val="009D4848"/>
    <w:rsid w:val="009E59DF"/>
    <w:rsid w:val="009E7CBB"/>
    <w:rsid w:val="00A350D6"/>
    <w:rsid w:val="00A90693"/>
    <w:rsid w:val="00A94DF6"/>
    <w:rsid w:val="00AA523A"/>
    <w:rsid w:val="00AC21AC"/>
    <w:rsid w:val="00B01CCA"/>
    <w:rsid w:val="00B73298"/>
    <w:rsid w:val="00B775A3"/>
    <w:rsid w:val="00BC6B58"/>
    <w:rsid w:val="00BD5008"/>
    <w:rsid w:val="00BD6CAC"/>
    <w:rsid w:val="00C27062"/>
    <w:rsid w:val="00C57740"/>
    <w:rsid w:val="00C75307"/>
    <w:rsid w:val="00C81D73"/>
    <w:rsid w:val="00CD320D"/>
    <w:rsid w:val="00CD564F"/>
    <w:rsid w:val="00CE648E"/>
    <w:rsid w:val="00D07CDF"/>
    <w:rsid w:val="00D2499C"/>
    <w:rsid w:val="00D44793"/>
    <w:rsid w:val="00D6478B"/>
    <w:rsid w:val="00D8390C"/>
    <w:rsid w:val="00DC307D"/>
    <w:rsid w:val="00DC72B1"/>
    <w:rsid w:val="00E33768"/>
    <w:rsid w:val="00E46A32"/>
    <w:rsid w:val="00E47E85"/>
    <w:rsid w:val="00E557A7"/>
    <w:rsid w:val="00E81F81"/>
    <w:rsid w:val="00EA3F02"/>
    <w:rsid w:val="00ED4611"/>
    <w:rsid w:val="00EF0655"/>
    <w:rsid w:val="00F21581"/>
    <w:rsid w:val="00F621CF"/>
    <w:rsid w:val="00F67E0C"/>
    <w:rsid w:val="00FA2176"/>
    <w:rsid w:val="00FB6418"/>
    <w:rsid w:val="05BF3191"/>
    <w:rsid w:val="06802586"/>
    <w:rsid w:val="0D0636C9"/>
    <w:rsid w:val="0E881DC0"/>
    <w:rsid w:val="1AF30626"/>
    <w:rsid w:val="1F7A531F"/>
    <w:rsid w:val="20B750DF"/>
    <w:rsid w:val="225B528B"/>
    <w:rsid w:val="238F79C5"/>
    <w:rsid w:val="239F728C"/>
    <w:rsid w:val="280D213F"/>
    <w:rsid w:val="31033407"/>
    <w:rsid w:val="351E3EDB"/>
    <w:rsid w:val="38A8506A"/>
    <w:rsid w:val="3B6C7BED"/>
    <w:rsid w:val="3E565BF9"/>
    <w:rsid w:val="40631F92"/>
    <w:rsid w:val="41602F4F"/>
    <w:rsid w:val="44674FF1"/>
    <w:rsid w:val="45B617C7"/>
    <w:rsid w:val="476E690A"/>
    <w:rsid w:val="4ED26AC9"/>
    <w:rsid w:val="54153B6E"/>
    <w:rsid w:val="56D500F5"/>
    <w:rsid w:val="57DE19DF"/>
    <w:rsid w:val="58214CE0"/>
    <w:rsid w:val="583D6CC3"/>
    <w:rsid w:val="591F1B42"/>
    <w:rsid w:val="59D17980"/>
    <w:rsid w:val="59DE6F12"/>
    <w:rsid w:val="5AB52F75"/>
    <w:rsid w:val="5B3C443A"/>
    <w:rsid w:val="5EFE217D"/>
    <w:rsid w:val="5FFDE925"/>
    <w:rsid w:val="62D4650F"/>
    <w:rsid w:val="6C084A7E"/>
    <w:rsid w:val="70B46803"/>
    <w:rsid w:val="726415E9"/>
    <w:rsid w:val="76521218"/>
    <w:rsid w:val="777F1273"/>
    <w:rsid w:val="7AF29131"/>
    <w:rsid w:val="7B786499"/>
    <w:rsid w:val="7DEC0A17"/>
    <w:rsid w:val="7DF77D4D"/>
    <w:rsid w:val="7E7D7037"/>
    <w:rsid w:val="7F279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uiPriority="39" w:unhideWhenUsed="1" w:qFormat="1"/>
    <w:lsdException w:name="annotation text" w:qFormat="1"/>
    <w:lsdException w:name="header" w:qFormat="1"/>
    <w:lsdException w:name="footer" w:uiPriority="99" w:qFormat="1"/>
    <w:lsdException w:name="caption" w:locked="1" w:semiHidden="1" w:unhideWhenUsed="1" w:qFormat="1"/>
    <w:lsdException w:name="annotation reference"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0">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spacing w:line="600" w:lineRule="exact"/>
      <w:ind w:firstLineChars="200" w:firstLine="640"/>
    </w:pPr>
    <w:rPr>
      <w:rFonts w:ascii="楷体_GB2312" w:eastAsia="楷体_GB2312" w:hAnsi="楷体" w:cs="仿宋"/>
      <w:sz w:val="32"/>
      <w:szCs w:val="32"/>
    </w:rPr>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Pr>
      <w:sz w:val="21"/>
      <w:szCs w:val="21"/>
    </w:rPr>
  </w:style>
  <w:style w:type="character" w:customStyle="1" w:styleId="Char">
    <w:name w:val="批注框文本 Char"/>
    <w:link w:val="a4"/>
    <w:qFormat/>
    <w:locked/>
    <w:rPr>
      <w:rFonts w:cs="Times New Roman"/>
      <w:kern w:val="2"/>
      <w:sz w:val="18"/>
      <w:szCs w:val="18"/>
    </w:rPr>
  </w:style>
  <w:style w:type="character" w:customStyle="1" w:styleId="Char1">
    <w:name w:val="页眉 Char"/>
    <w:link w:val="a6"/>
    <w:qFormat/>
    <w:locked/>
    <w:rPr>
      <w:rFonts w:cs="Times New Roman"/>
      <w:kern w:val="2"/>
      <w:sz w:val="18"/>
      <w:szCs w:val="18"/>
    </w:rPr>
  </w:style>
  <w:style w:type="character" w:customStyle="1" w:styleId="Char0">
    <w:name w:val="页脚 Char"/>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uiPriority="39" w:unhideWhenUsed="1" w:qFormat="1"/>
    <w:lsdException w:name="annotation text" w:qFormat="1"/>
    <w:lsdException w:name="header" w:qFormat="1"/>
    <w:lsdException w:name="footer" w:uiPriority="99" w:qFormat="1"/>
    <w:lsdException w:name="caption" w:locked="1" w:semiHidden="1" w:unhideWhenUsed="1" w:qFormat="1"/>
    <w:lsdException w:name="annotation reference"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0">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spacing w:line="600" w:lineRule="exact"/>
      <w:ind w:firstLineChars="200" w:firstLine="640"/>
    </w:pPr>
    <w:rPr>
      <w:rFonts w:ascii="楷体_GB2312" w:eastAsia="楷体_GB2312" w:hAnsi="楷体" w:cs="仿宋"/>
      <w:sz w:val="32"/>
      <w:szCs w:val="32"/>
    </w:rPr>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Pr>
      <w:sz w:val="21"/>
      <w:szCs w:val="21"/>
    </w:rPr>
  </w:style>
  <w:style w:type="character" w:customStyle="1" w:styleId="Char">
    <w:name w:val="批注框文本 Char"/>
    <w:link w:val="a4"/>
    <w:qFormat/>
    <w:locked/>
    <w:rPr>
      <w:rFonts w:cs="Times New Roman"/>
      <w:kern w:val="2"/>
      <w:sz w:val="18"/>
      <w:szCs w:val="18"/>
    </w:rPr>
  </w:style>
  <w:style w:type="character" w:customStyle="1" w:styleId="Char1">
    <w:name w:val="页眉 Char"/>
    <w:link w:val="a6"/>
    <w:qFormat/>
    <w:locked/>
    <w:rPr>
      <w:rFonts w:cs="Times New Roman"/>
      <w:kern w:val="2"/>
      <w:sz w:val="18"/>
      <w:szCs w:val="18"/>
    </w:rPr>
  </w:style>
  <w:style w:type="character" w:customStyle="1" w:styleId="Char0">
    <w:name w:val="页脚 Char"/>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541</Words>
  <Characters>3087</Characters>
  <Application>Microsoft Office Word</Application>
  <DocSecurity>0</DocSecurity>
  <Lines>25</Lines>
  <Paragraphs>7</Paragraphs>
  <ScaleCrop>false</ScaleCrop>
  <Company>A.C. Milan</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上海市浦东新区金融工作局文件</dc:title>
  <dc:creator>刘玉琴:打印</dc:creator>
  <cp:lastModifiedBy>User</cp:lastModifiedBy>
  <cp:revision>2</cp:revision>
  <cp:lastPrinted>2025-04-15T11:08:00Z</cp:lastPrinted>
  <dcterms:created xsi:type="dcterms:W3CDTF">2025-04-22T06:10:00Z</dcterms:created>
  <dcterms:modified xsi:type="dcterms:W3CDTF">2025-04-22T06:10:00Z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7636D2890B96F06F4894E565D0CC0915</vt:lpwstr>
  </property>
</Properties>
</file>