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95" w:rsidRDefault="009E5F95" w:rsidP="009E5F95">
      <w:pPr>
        <w:spacing w:line="900" w:lineRule="exact"/>
        <w:jc w:val="center"/>
        <w:rPr>
          <w:rFonts w:ascii="黑体" w:eastAsia="方正小标宋简体" w:hAnsi="Calibri" w:cs="方正小标宋简体" w:hint="eastAsia"/>
          <w:color w:val="FF0000"/>
          <w:spacing w:val="3"/>
          <w:w w:val="85"/>
          <w:kern w:val="0"/>
          <w:sz w:val="72"/>
          <w:szCs w:val="72"/>
        </w:rPr>
      </w:pPr>
    </w:p>
    <w:p w:rsidR="009E5F95" w:rsidRDefault="009E5F95" w:rsidP="009E5F95">
      <w:pPr>
        <w:spacing w:line="900" w:lineRule="exact"/>
        <w:jc w:val="center"/>
        <w:rPr>
          <w:rFonts w:ascii="黑体" w:eastAsia="方正小标宋简体" w:hAnsi="Calibri" w:cs="方正小标宋简体" w:hint="eastAsia"/>
          <w:color w:val="FF0000"/>
          <w:spacing w:val="3"/>
          <w:w w:val="85"/>
          <w:kern w:val="0"/>
          <w:sz w:val="72"/>
          <w:szCs w:val="72"/>
        </w:rPr>
      </w:pPr>
    </w:p>
    <w:p w:rsidR="009E5F95" w:rsidRDefault="009E5F95" w:rsidP="009E5F95">
      <w:pPr>
        <w:spacing w:line="900" w:lineRule="exact"/>
        <w:jc w:val="center"/>
        <w:rPr>
          <w:rFonts w:ascii="Calibri" w:eastAsia="方正小标宋简体" w:hAnsi="Calibri"/>
          <w:color w:val="FF0000"/>
          <w:w w:val="80"/>
          <w:sz w:val="72"/>
          <w:szCs w:val="72"/>
        </w:rPr>
      </w:pPr>
      <w:r>
        <w:rPr>
          <w:rFonts w:ascii="黑体" w:eastAsia="方正小标宋简体" w:hAnsi="Calibri" w:cs="方正小标宋简体" w:hint="eastAsia"/>
          <w:color w:val="FF0000"/>
          <w:spacing w:val="3"/>
          <w:w w:val="85"/>
          <w:kern w:val="0"/>
          <w:sz w:val="72"/>
          <w:szCs w:val="72"/>
        </w:rPr>
        <w:t>上海市浦东新区金融工作局</w:t>
      </w:r>
      <w:r>
        <w:rPr>
          <w:rFonts w:ascii="Calibri" w:eastAsia="方正小标宋简体" w:hAnsi="Calibri" w:cs="方正小标宋简体" w:hint="eastAsia"/>
          <w:color w:val="FF0000"/>
          <w:spacing w:val="3"/>
          <w:w w:val="85"/>
          <w:kern w:val="0"/>
          <w:sz w:val="72"/>
          <w:szCs w:val="72"/>
        </w:rPr>
        <w:t>文</w:t>
      </w:r>
      <w:r>
        <w:rPr>
          <w:rFonts w:ascii="Calibri" w:eastAsia="方正小标宋简体" w:hAnsi="Calibri" w:cs="方正小标宋简体" w:hint="eastAsia"/>
          <w:color w:val="FF0000"/>
          <w:spacing w:val="-16"/>
          <w:w w:val="85"/>
          <w:kern w:val="0"/>
          <w:sz w:val="72"/>
          <w:szCs w:val="72"/>
        </w:rPr>
        <w:t>件</w:t>
      </w:r>
    </w:p>
    <w:p w:rsidR="009E5F95" w:rsidRDefault="009E5F95" w:rsidP="009E5F95">
      <w:pPr>
        <w:spacing w:line="500" w:lineRule="exact"/>
        <w:rPr>
          <w:rFonts w:ascii="Calibri" w:hAnsi="Calibri"/>
          <w:color w:val="FF0000"/>
          <w:szCs w:val="21"/>
        </w:rPr>
      </w:pPr>
    </w:p>
    <w:p w:rsidR="009E5F95" w:rsidRDefault="009E5F95" w:rsidP="009E5F95">
      <w:pPr>
        <w:spacing w:line="500" w:lineRule="exact"/>
        <w:rPr>
          <w:rFonts w:ascii="Calibri" w:hAnsi="Calibri"/>
          <w:color w:val="FF0000"/>
          <w:szCs w:val="21"/>
        </w:rPr>
      </w:pPr>
    </w:p>
    <w:tbl>
      <w:tblPr>
        <w:tblW w:w="0" w:type="auto"/>
        <w:tblBorders>
          <w:bottom w:val="single" w:sz="12" w:space="0" w:color="FF0000"/>
        </w:tblBorders>
        <w:tblLook w:val="00A0" w:firstRow="1" w:lastRow="0" w:firstColumn="1" w:lastColumn="0" w:noHBand="0" w:noVBand="0"/>
      </w:tblPr>
      <w:tblGrid>
        <w:gridCol w:w="8928"/>
      </w:tblGrid>
      <w:tr w:rsidR="009E5F95" w:rsidTr="009E5F95">
        <w:trPr>
          <w:trHeight w:val="566"/>
        </w:trPr>
        <w:tc>
          <w:tcPr>
            <w:tcW w:w="8928" w:type="dxa"/>
            <w:tcBorders>
              <w:top w:val="nil"/>
              <w:left w:val="nil"/>
              <w:bottom w:val="single" w:sz="18" w:space="0" w:color="FF0000"/>
              <w:right w:val="nil"/>
            </w:tcBorders>
            <w:hideMark/>
          </w:tcPr>
          <w:p w:rsidR="009E5F95" w:rsidRDefault="009E5F95">
            <w:pPr>
              <w:spacing w:line="500" w:lineRule="exact"/>
              <w:ind w:right="660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签发人"/>
            <w:bookmarkStart w:id="1" w:name="文号"/>
            <w:bookmarkEnd w:id="0"/>
            <w:bookmarkEnd w:id="1"/>
            <w:r>
              <w:rPr>
                <w:rFonts w:eastAsia="仿宋_GB2312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沪浦金融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〔</w:t>
            </w:r>
            <w:r>
              <w:rPr>
                <w:rFonts w:eastAsia="仿宋_GB2312"/>
                <w:sz w:val="32"/>
                <w:szCs w:val="32"/>
              </w:rPr>
              <w:t>2020</w:t>
            </w:r>
            <w:r>
              <w:rPr>
                <w:rFonts w:eastAsia="仿宋_GB2312" w:hint="eastAsia"/>
                <w:sz w:val="32"/>
                <w:szCs w:val="32"/>
              </w:rPr>
              <w:t>〕</w:t>
            </w:r>
            <w:r>
              <w:rPr>
                <w:rFonts w:eastAsia="仿宋_GB2312"/>
                <w:sz w:val="32"/>
                <w:szCs w:val="32"/>
              </w:rPr>
              <w:t>7</w:t>
            </w:r>
            <w:r>
              <w:rPr>
                <w:rFonts w:eastAsia="仿宋_GB2312" w:hint="eastAsia"/>
                <w:sz w:val="32"/>
                <w:szCs w:val="32"/>
              </w:rPr>
              <w:t>号</w:t>
            </w:r>
          </w:p>
        </w:tc>
      </w:tr>
    </w:tbl>
    <w:p w:rsidR="009E5F95" w:rsidRDefault="009E5F95" w:rsidP="009E5F95">
      <w:pPr>
        <w:spacing w:line="560" w:lineRule="exact"/>
        <w:rPr>
          <w:rFonts w:ascii="Calibri" w:eastAsia="仿宋_GB2312" w:hAnsi="Calibri"/>
          <w:sz w:val="32"/>
          <w:szCs w:val="32"/>
        </w:rPr>
      </w:pPr>
    </w:p>
    <w:p w:rsidR="009E5F95" w:rsidRDefault="009E5F95" w:rsidP="009E5F95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bookmarkStart w:id="2" w:name="内容"/>
      <w:bookmarkEnd w:id="2"/>
      <w:r>
        <w:rPr>
          <w:rFonts w:eastAsia="方正小标宋简体" w:hint="eastAsia"/>
          <w:spacing w:val="-6"/>
          <w:sz w:val="44"/>
          <w:szCs w:val="44"/>
        </w:rPr>
        <w:t>浦东新区金融工作局</w:t>
      </w:r>
    </w:p>
    <w:p w:rsidR="009E5F95" w:rsidRDefault="009E5F95" w:rsidP="009E5F95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2019</w:t>
      </w:r>
      <w:r>
        <w:rPr>
          <w:rFonts w:eastAsia="方正小标宋简体" w:hint="eastAsia"/>
          <w:spacing w:val="-6"/>
          <w:sz w:val="44"/>
          <w:szCs w:val="44"/>
        </w:rPr>
        <w:t>年度法治政府建设情况报告</w:t>
      </w:r>
    </w:p>
    <w:p w:rsidR="009E5F95" w:rsidRDefault="009E5F95" w:rsidP="009E5F95">
      <w:pPr>
        <w:spacing w:line="560" w:lineRule="exact"/>
        <w:ind w:firstLineChars="200" w:firstLine="880"/>
        <w:rPr>
          <w:rFonts w:eastAsia="仿宋_GB2312"/>
          <w:kern w:val="0"/>
          <w:sz w:val="44"/>
          <w:szCs w:val="44"/>
        </w:rPr>
      </w:pPr>
    </w:p>
    <w:p w:rsidR="009E5F95" w:rsidRDefault="009E5F95" w:rsidP="009E5F95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引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言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本年度报告根据中共中央、国务院《法治政府建设实施纲要（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2015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－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2020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年）》（以下简称《纲要》）、市政府《上海市法治政府建设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“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十三五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”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规划》（以下简称《规划》）和区政府《浦东新区法治政府建设工作方案（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2017-2020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年）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》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（以下简称《方案》）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的要求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，由浦东新区金融工作局编制。全文包括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年度法治政府建设的“主要举措和成效”、“存在的不足和原因”、“主要负责人履职情况”以及“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2020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年主要安排”。本年度报告中所列数据的统计期限自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月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日起至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12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月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31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日止。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lastRenderedPageBreak/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，金融局在区委、区政府的坚强领导下，在区人大和区政协的监督支持下，坚持以习近平新时代中国特色社会主义思想为指导，全面贯彻落实党的十九大、十九届二中、三中全会、四中全会精神、认真贯彻落实中共中央、国务院《纲要》、市政府《规划》，按照区政府《方案》的部署，深入推进依法行政，加快建设法治政府，各项工作取得新的进展。现将浦东新区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年度推进法治政府建设情况报告如下：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黑体"/>
          <w:snapToGrid w:val="0"/>
          <w:spacing w:val="-4"/>
          <w:kern w:val="0"/>
          <w:sz w:val="32"/>
          <w:szCs w:val="32"/>
        </w:rPr>
      </w:pP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一、</w:t>
      </w:r>
      <w:r>
        <w:rPr>
          <w:rFonts w:eastAsia="黑体"/>
          <w:snapToGrid w:val="0"/>
          <w:spacing w:val="-4"/>
          <w:kern w:val="0"/>
          <w:sz w:val="32"/>
          <w:szCs w:val="32"/>
        </w:rPr>
        <w:t>2019</w:t>
      </w: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年度法治政府建设工作的主要举措和成效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（一）加强法治政府建设组织领导。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发挥局党组对法治政府建设的统领作用，局主要领导对法治政府建设工作负总责，副局长按业务条线协同分管。在具体工作层面，办公室统筹协调，其他各处室根据职能分工各司其职。将法治政府建设全面融入我局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年的重点工作计划，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按照“发展、服务、监管”的工作主线，对具体工作进行专门部署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，明确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牵头局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领导和责任处室，对工作目标进行分解，明确时间节点。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（二）推动政府职能转变。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、深化小贷、担保领域的综合</w:t>
      </w:r>
      <w:bookmarkStart w:id="3" w:name="_GoBack"/>
      <w:bookmarkEnd w:id="3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监管，有序承接三类机构的管理职责。承接融资租赁、商业保理、典当行三类机构相关管理职责。按照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“建立机制、明确职责、加强协同”的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工作要求，我局在市地方金融监管局的指导下，与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新区职能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部门加强沟通，已于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月起正式负责三类机构的信息统计、配合监管和风险防范工作，牵头受理外资融资租赁、商业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保理试点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企业、典当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lastRenderedPageBreak/>
        <w:t>行的新设和重大变更申请。实施“我要开典当行”事项的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一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业一证改革。依据“双随机、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一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公开”的原则，组织开展浦东新区小额贷款公司、融资担保机构的现场检查工作。在新区“互联网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+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监管系统”上进行双随机操作、并将检查结果按时录入系统并公开。全年，共批复小额贷款公司的变更申请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16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件。核准典当行的业务许可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件，变更申请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8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件。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、积极推进“六个双”监管应用场景建设，已在小贷、担保、融资租赁、典当、保理等领域建立了“六个双”、“四个监管”应用场景。通过“前三个双”构建证照衔接机制，通过“后三个双”构建监管协同机制，通过“四个监管”实现事前预警、事中排查、事后处置。场景的建设，归集了行业内公司的相关信息与关键数据，抓取了覆盖面广、可获取性低的社会舆情，建立起相关委办局数据共享、高效沟通、协同应对的平台，构建起风险预警、排查、处置的全流程协作机制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、推进政府信息公开工作。</w:t>
      </w:r>
      <w:r>
        <w:rPr>
          <w:rFonts w:ascii="Calibri" w:eastAsia="仿宋_GB2312" w:hAnsi="Calibri" w:hint="eastAsia"/>
          <w:snapToGrid w:val="0"/>
          <w:spacing w:val="-4"/>
          <w:kern w:val="0"/>
          <w:sz w:val="32"/>
          <w:szCs w:val="32"/>
        </w:rPr>
        <w:t>不断推进政府信息公开的制度化，规范化建设，制定了《信息发布保密审查工作规范》，规范了公文公开属性的审核流程和责任分工。进一步明确和规范了依申请公开受理的内部流程。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全年，主动公开政府信息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42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条，涵盖规范性文件、行政审批结果、财政预决算、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回应热点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问题等，根据机构改革情况，更新了职能介绍、领导分工、机构设置等信息，并对公开指南进行了调整更新。受理并办结依申请公开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14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件。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lastRenderedPageBreak/>
        <w:t>（四）完善科学决策机制。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充分发挥局党组的领导核心作用，强调贯彻执行民主集中制的自觉性。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认真执行局党组会、局务会等会议制度。严格按照《金融局关于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执行“三重一大”事项集体决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策制度的实施办法》，按规则、按程序、按集体意志办事。全年共召开党组会议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13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次，研究讨论议题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58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个，议题涉及重要工作部署、重大人事任免、重大资金使用等方面。召开局务会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次，及时学习传达上级部门重要会议精神，研究落实重点工作。召开局长办公会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3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次，讨论研究重点工作。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（五）加强行政规范性文件的管理。</w:t>
      </w:r>
    </w:p>
    <w:p w:rsidR="009E5F95" w:rsidRDefault="009E5F95" w:rsidP="009E5F95">
      <w:pPr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加强规范性文件的全生命周期管理，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严格按照规范要求开展行政规范性文件的合法性审查、公开征求意见，进行集体审议，强化规范性文件的备案、评估及清理。我局会同财政局正式印发了《中国（上海）自由贸易试验区金融发展推进奖评审和组织实施办法》，对文件进行了解读，并按时备案。对由我局起草的《浦东新区</w:t>
      </w:r>
      <w:r>
        <w:rPr>
          <w:rFonts w:ascii="仿宋_GB2312" w:eastAsia="仿宋_GB2312" w:hint="eastAsia"/>
          <w:snapToGrid w:val="0"/>
          <w:color w:val="000000"/>
          <w:spacing w:val="-4"/>
          <w:kern w:val="0"/>
          <w:sz w:val="32"/>
          <w:szCs w:val="32"/>
        </w:rPr>
        <w:t>“十三五”期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间促进金融业发展财政扶持办法》和《浦东新区关于促进中小企业上市挂牌的若干意见》开展了专项清理，结果均符合相关规定，文件继续有效。委托专业机构对《浦东新区关于促进中小企业上市挂牌的若干意见》进行了绩效评价。总体评价为良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ascii="仿宋_GB2312" w:eastAsia="仿宋_GB2312" w:hAnsi="宋体"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（六）</w:t>
      </w:r>
      <w:r>
        <w:rPr>
          <w:rFonts w:ascii="楷体_GB2312" w:eastAsia="楷体_GB2312" w:hint="eastAsia"/>
          <w:b/>
          <w:snapToGrid w:val="0"/>
          <w:spacing w:val="-4"/>
          <w:kern w:val="0"/>
          <w:sz w:val="32"/>
          <w:szCs w:val="32"/>
        </w:rPr>
        <w:t>强化对行政行为的监督</w:t>
      </w:r>
    </w:p>
    <w:p w:rsidR="009E5F95" w:rsidRDefault="009E5F95" w:rsidP="009E5F95">
      <w:pPr>
        <w:adjustRightInd w:val="0"/>
        <w:snapToGrid w:val="0"/>
        <w:spacing w:line="560" w:lineRule="exact"/>
        <w:ind w:firstLine="200"/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  <w:t xml:space="preserve">   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一是自觉接受监督。对落实区人大常委会《关于加快法治政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lastRenderedPageBreak/>
        <w:t>府建设的决定》的情况进行了专项自查；根据开展“营造法治化营商环境</w:t>
      </w:r>
      <w:r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保护民营企业发展”专项督察的要求，进行了自查，并根据反馈情况，积极整改落实。接受对行政执法案卷的现场检查，根据反馈意见，加强行政执法案卷的整理归档工作。二是认真办理人大代表建议和政协委员提案，</w:t>
      </w:r>
      <w:r>
        <w:rPr>
          <w:rFonts w:eastAsia="仿宋_GB2312" w:hint="eastAsia"/>
          <w:snapToGrid w:val="0"/>
          <w:spacing w:val="-4"/>
          <w:kern w:val="0"/>
          <w:sz w:val="32"/>
        </w:rPr>
        <w:t>加强办理结果跟踪，推进答复公开工作。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全年，我局共会办区人大代表建议</w:t>
      </w:r>
      <w:r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  <w:t>2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件，主办</w:t>
      </w:r>
      <w:r>
        <w:rPr>
          <w:rFonts w:eastAsia="仿宋_GB2312" w:hint="eastAsia"/>
          <w:snapToGrid w:val="0"/>
          <w:spacing w:val="-4"/>
          <w:kern w:val="0"/>
          <w:sz w:val="32"/>
        </w:rPr>
        <w:t>区政协提案</w:t>
      </w:r>
      <w:r>
        <w:rPr>
          <w:rFonts w:eastAsia="仿宋_GB2312"/>
          <w:snapToGrid w:val="0"/>
          <w:spacing w:val="-4"/>
          <w:kern w:val="0"/>
          <w:sz w:val="32"/>
        </w:rPr>
        <w:t>10</w:t>
      </w:r>
      <w:r>
        <w:rPr>
          <w:rFonts w:eastAsia="仿宋_GB2312" w:hint="eastAsia"/>
          <w:snapToGrid w:val="0"/>
          <w:spacing w:val="-4"/>
          <w:kern w:val="0"/>
          <w:sz w:val="32"/>
        </w:rPr>
        <w:t>件，会办</w:t>
      </w:r>
      <w:r>
        <w:rPr>
          <w:rFonts w:eastAsia="仿宋_GB2312"/>
          <w:snapToGrid w:val="0"/>
          <w:spacing w:val="-4"/>
          <w:kern w:val="0"/>
          <w:sz w:val="32"/>
        </w:rPr>
        <w:t>8</w:t>
      </w:r>
      <w:r>
        <w:rPr>
          <w:rFonts w:eastAsia="仿宋_GB2312" w:hint="eastAsia"/>
          <w:snapToGrid w:val="0"/>
          <w:spacing w:val="-4"/>
          <w:kern w:val="0"/>
          <w:sz w:val="32"/>
        </w:rPr>
        <w:t>件，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主动公开</w:t>
      </w:r>
      <w:r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  <w:t>4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件政协提案答复。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（七）提高工作人员依法行政的意识和能力</w:t>
      </w:r>
    </w:p>
    <w:p w:rsidR="009E5F95" w:rsidRDefault="009E5F95" w:rsidP="009E5F95">
      <w:pPr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一是推进干部学法，坚持中心组学习、业务学习会等学习制度，通过集中学法、邀请专业律师授课、组织参观学习等方式，开展形式多样的学法活动，不断提升全体干部依法行政的意识和水平。二是组织开展本系统的法治培训，举办金融风险管理系列培训，提高干部风险意识和防范水平，已举办专业讲座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12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场，受众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700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余人。三是组织法制干部参加区级培训，全年共有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5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人次参加了法治建设、政务公开等业务培训，进一步提高法制干部的工作能力。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7"/>
        <w:rPr>
          <w:rFonts w:eastAsia="楷体_GB2312"/>
          <w:b/>
          <w:snapToGrid w:val="0"/>
          <w:spacing w:val="-4"/>
          <w:kern w:val="0"/>
          <w:sz w:val="32"/>
          <w:szCs w:val="32"/>
        </w:rPr>
      </w:pPr>
      <w:r>
        <w:rPr>
          <w:rFonts w:eastAsia="楷体_GB2312" w:hint="eastAsia"/>
          <w:b/>
          <w:snapToGrid w:val="0"/>
          <w:spacing w:val="-4"/>
          <w:kern w:val="0"/>
          <w:sz w:val="32"/>
          <w:szCs w:val="32"/>
        </w:rPr>
        <w:t>（八）开展法治宣传教育</w:t>
      </w:r>
    </w:p>
    <w:p w:rsidR="009E5F95" w:rsidRDefault="009E5F95" w:rsidP="009E5F95">
      <w:pPr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按照新区统一部署，开展宪法宣传周主题宣传活动，在“浦东金融”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微信公众号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开设“宪法宣传”专栏，充分发挥新媒体宣传阵地的作用，推进宪法学习宣传工作的常态化。贯彻普法责任制，落实普法责任清单制度。开展防范非法集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资“进社区”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集中宣讲展演，会同相关职能部门，组织典型案例集中巡演，现场咨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lastRenderedPageBreak/>
        <w:t>询等；组织律师事务所等第三方机构，成立专家宣讲团，在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个街镇进行宣讲，覆盖人群超过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1500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人；此外，通过印发宣传手册，宣传团扇，宣传纸巾盒，在商业圈和户外</w:t>
      </w:r>
      <w:r>
        <w:rPr>
          <w:rFonts w:eastAsia="仿宋_GB2312"/>
          <w:snapToGrid w:val="0"/>
          <w:spacing w:val="-4"/>
          <w:kern w:val="0"/>
          <w:sz w:val="32"/>
          <w:szCs w:val="32"/>
        </w:rPr>
        <w:t>LED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屏投放风险防范和扫黑除恶的宣传口号，在公交线路投放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车身公益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宣传广告等方式开展金融风险防范公众宣传教育活动，努力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营造惩防结合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、社会共治的良好氛围。</w:t>
      </w:r>
    </w:p>
    <w:p w:rsidR="009E5F95" w:rsidRDefault="009E5F95" w:rsidP="009E5F9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黑体"/>
          <w:snapToGrid w:val="0"/>
          <w:spacing w:val="-4"/>
          <w:kern w:val="0"/>
          <w:sz w:val="32"/>
          <w:szCs w:val="32"/>
        </w:rPr>
      </w:pP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二、存在的主要问题和原因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t>2019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我局法治政府建设工作虽取得一定的成效，但还存在一些不足，主要表现在：一是针对行政执法人员的法治培训有待进一步加强。由于我局所涉行政执法事项较少，对行政执法人员尚缺乏系统全面的培训；二是投资者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教育的针对性和实效性还不够强，由于个人投资者专业知识少、风险承受能力弱、投资不够理性的特点，对投资者教育的内容与形式都提出了更高的要求。</w:t>
      </w:r>
    </w:p>
    <w:p w:rsidR="009E5F95" w:rsidRDefault="009E5F95" w:rsidP="009E5F9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黑体"/>
          <w:snapToGrid w:val="0"/>
          <w:spacing w:val="-4"/>
          <w:kern w:val="0"/>
          <w:sz w:val="32"/>
          <w:szCs w:val="32"/>
        </w:rPr>
      </w:pP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三、主要负责人履职情况</w:t>
      </w:r>
    </w:p>
    <w:p w:rsidR="009E5F95" w:rsidRDefault="009E5F95" w:rsidP="009E5F95">
      <w:pPr>
        <w:autoSpaceDE w:val="0"/>
        <w:autoSpaceDN w:val="0"/>
        <w:adjustRightInd w:val="0"/>
        <w:snapToGrid w:val="0"/>
        <w:spacing w:line="560" w:lineRule="exact"/>
        <w:ind w:firstLineChars="200" w:firstLine="624"/>
        <w:rPr>
          <w:rFonts w:eastAsia="黑体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局主要负责人按照《浦东新区推行党政主要负责人法治建设责任制的规定》，积极履行推进法治政府建设第一责任人职责，局主要负责人作为法治政府建设的组织者、推动者、实践者，充分发挥统领全局，协调各方的作用，严格律己，带头学法，以法治思维和法治方式推动全局工作，要求并督促机关全体工作人员积极学法，依法行政，不断提升全局的法治化水平。对法治政府建设重要工作亲自部署、重大问题亲自过问、重点环节亲自协调、重要任务亲自督办。通过局务会听取法治政府建设相关工作的汇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lastRenderedPageBreak/>
        <w:t>报，并部署下一阶段的主要任务，多次主持召开专题会研究推动相关重点工作，将</w:t>
      </w:r>
      <w:r>
        <w:rPr>
          <w:rFonts w:eastAsia="仿宋_GB2312"/>
          <w:snapToGrid w:val="0"/>
          <w:color w:val="000000"/>
          <w:spacing w:val="-4"/>
          <w:kern w:val="0"/>
          <w:sz w:val="32"/>
          <w:szCs w:val="32"/>
        </w:rPr>
        <w:t>23</w:t>
      </w:r>
      <w:r>
        <w:rPr>
          <w:rFonts w:eastAsia="仿宋_GB2312" w:hint="eastAsia"/>
          <w:snapToGrid w:val="0"/>
          <w:color w:val="000000"/>
          <w:spacing w:val="-4"/>
          <w:kern w:val="0"/>
          <w:sz w:val="32"/>
          <w:szCs w:val="32"/>
        </w:rPr>
        <w:t>件法治政府建设相关事项列入督办，定期听取进展情况，协调解决难点问题。</w:t>
      </w:r>
    </w:p>
    <w:p w:rsidR="009E5F95" w:rsidRDefault="009E5F95" w:rsidP="009E5F95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24"/>
        <w:rPr>
          <w:rFonts w:eastAsia="黑体"/>
          <w:snapToGrid w:val="0"/>
          <w:spacing w:val="-4"/>
          <w:kern w:val="0"/>
          <w:sz w:val="32"/>
          <w:szCs w:val="32"/>
        </w:rPr>
      </w:pP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四、</w:t>
      </w:r>
      <w:r>
        <w:rPr>
          <w:rFonts w:eastAsia="黑体"/>
          <w:snapToGrid w:val="0"/>
          <w:spacing w:val="-4"/>
          <w:kern w:val="0"/>
          <w:sz w:val="32"/>
          <w:szCs w:val="32"/>
        </w:rPr>
        <w:t>2020</w:t>
      </w:r>
      <w:r>
        <w:rPr>
          <w:rFonts w:eastAsia="黑体" w:hint="eastAsia"/>
          <w:snapToGrid w:val="0"/>
          <w:spacing w:val="-4"/>
          <w:kern w:val="0"/>
          <w:sz w:val="32"/>
          <w:szCs w:val="32"/>
        </w:rPr>
        <w:t>年主要安排</w:t>
      </w:r>
    </w:p>
    <w:p w:rsidR="009E5F95" w:rsidRDefault="009E5F95" w:rsidP="009E5F95">
      <w:pPr>
        <w:autoSpaceDE w:val="0"/>
        <w:autoSpaceDN w:val="0"/>
        <w:adjustRightInd w:val="0"/>
        <w:snapToGrid w:val="0"/>
        <w:spacing w:line="560" w:lineRule="exact"/>
        <w:ind w:firstLineChars="200" w:firstLine="624"/>
        <w:rPr>
          <w:rFonts w:eastAsia="仿宋_GB2312"/>
          <w:bCs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snapToGrid w:val="0"/>
          <w:spacing w:val="-4"/>
          <w:kern w:val="0"/>
          <w:sz w:val="32"/>
          <w:szCs w:val="32"/>
        </w:rPr>
        <w:t>2020</w:t>
      </w: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年，在区委区政府的坚强领导下，金融局将继续贯彻落实</w:t>
      </w:r>
      <w:r>
        <w:rPr>
          <w:rFonts w:ascii="仿宋_GB2312" w:eastAsia="仿宋_GB2312" w:hAnsi="Calibri" w:cs="仿宋_GB2312" w:hint="eastAsia"/>
          <w:snapToGrid w:val="0"/>
          <w:color w:val="000008"/>
          <w:spacing w:val="-4"/>
          <w:kern w:val="0"/>
          <w:sz w:val="32"/>
          <w:szCs w:val="32"/>
        </w:rPr>
        <w:t>市委、市政府、区委、区政府关于法治建设的重大决策部署，按照</w:t>
      </w:r>
      <w:r>
        <w:rPr>
          <w:rFonts w:eastAsia="仿宋_GB2312" w:hint="eastAsia"/>
          <w:bCs/>
          <w:snapToGrid w:val="0"/>
          <w:color w:val="000000"/>
          <w:spacing w:val="-4"/>
          <w:kern w:val="0"/>
          <w:sz w:val="32"/>
          <w:szCs w:val="32"/>
        </w:rPr>
        <w:t>建设职能科学、权责法定、执法严明、公开公正、廉洁高效、守法诚信的法治政府目标，全面深入推进依法行政，改善法治环境，提升政府治理能力，扎实推进法治政府建设的各项任务。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/>
          <w:snapToGrid w:val="0"/>
          <w:spacing w:val="-4"/>
          <w:kern w:val="0"/>
          <w:sz w:val="32"/>
          <w:szCs w:val="32"/>
        </w:rPr>
      </w:pPr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一是做好地方金融管理工作。针对我局承担的行政审批事项，不断完善和优化审批流程，提高办理效率，缩短办理时限，提升行政相对人办理的便捷度和</w:t>
      </w:r>
      <w:proofErr w:type="gramStart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可</w:t>
      </w:r>
      <w:proofErr w:type="gramEnd"/>
      <w:r>
        <w:rPr>
          <w:rFonts w:eastAsia="仿宋_GB2312" w:hint="eastAsia"/>
          <w:snapToGrid w:val="0"/>
          <w:spacing w:val="-4"/>
          <w:kern w:val="0"/>
          <w:sz w:val="32"/>
          <w:szCs w:val="32"/>
        </w:rPr>
        <w:t>预期性。加强行政执法人员的能力建设，与相关部门积极沟通，争取组织行政执法人员参加全市统一培训，提高依法行政能力和水平。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 xml:space="preserve">二是提升重大行政决策的科学化、民主化、法治化水平。认真贯彻落实《浦东新区关于贯彻&lt;上海市重大行政决策程序暂行规定&gt;的实施意见（试行）》，遵循“科学、民主、依法、效能”的原则，提出纳入重大行政决策的事项，严格执行公众参与、专家论证、风险评估、合法性审查、集体讨论决定等法定程序制度。 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t>三是建立投资者教育工作的长效机制，加强与监管部门的联系，依托专业机构的力量，充分利用主流媒体的公信力，新媒体的传播能力，开展投资者教育，揭示投资风险、宣传理性维权的</w:t>
      </w:r>
      <w:r>
        <w:rPr>
          <w:rFonts w:ascii="仿宋_GB2312" w:eastAsia="仿宋_GB2312" w:hint="eastAsia"/>
          <w:snapToGrid w:val="0"/>
          <w:spacing w:val="-4"/>
          <w:kern w:val="0"/>
          <w:sz w:val="32"/>
          <w:szCs w:val="32"/>
        </w:rPr>
        <w:lastRenderedPageBreak/>
        <w:t>理念，促进金融市场的健康发展。</w:t>
      </w:r>
    </w:p>
    <w:p w:rsidR="009E5F95" w:rsidRDefault="009E5F95" w:rsidP="009E5F9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E5F95" w:rsidRDefault="009E5F95" w:rsidP="009E5F95">
      <w:pPr>
        <w:adjustRightInd w:val="0"/>
        <w:snapToGrid w:val="0"/>
        <w:spacing w:line="560" w:lineRule="exact"/>
        <w:ind w:firstLineChars="200" w:firstLine="624"/>
        <w:rPr>
          <w:rFonts w:eastAsia="仿宋_GB2312" w:hint="eastAsia"/>
          <w:spacing w:val="-4"/>
          <w:sz w:val="32"/>
          <w:szCs w:val="32"/>
        </w:rPr>
      </w:pPr>
    </w:p>
    <w:p w:rsidR="009E5F95" w:rsidRDefault="009E5F95" w:rsidP="009E5F95">
      <w:pPr>
        <w:adjustRightInd w:val="0"/>
        <w:snapToGrid w:val="0"/>
        <w:spacing w:line="560" w:lineRule="exact"/>
        <w:ind w:firstLineChars="1650" w:firstLine="52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浦东新区金融工作局</w:t>
      </w:r>
    </w:p>
    <w:p w:rsidR="009E5F95" w:rsidRDefault="009E5F95" w:rsidP="009E5F95">
      <w:pPr>
        <w:adjustRightInd w:val="0"/>
        <w:snapToGrid w:val="0"/>
        <w:spacing w:line="560" w:lineRule="exact"/>
        <w:ind w:firstLineChars="1750" w:firstLine="560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2020</w:t>
      </w:r>
      <w:r>
        <w:rPr>
          <w:rFonts w:eastAsia="仿宋" w:hint="eastAsia"/>
          <w:kern w:val="0"/>
          <w:sz w:val="32"/>
          <w:szCs w:val="32"/>
        </w:rPr>
        <w:t>年</w:t>
      </w:r>
      <w:r>
        <w:rPr>
          <w:rFonts w:eastAsia="仿宋"/>
          <w:kern w:val="0"/>
          <w:sz w:val="32"/>
          <w:szCs w:val="32"/>
        </w:rPr>
        <w:t>1</w:t>
      </w:r>
      <w:r>
        <w:rPr>
          <w:rFonts w:eastAsia="仿宋" w:hint="eastAsia"/>
          <w:kern w:val="0"/>
          <w:sz w:val="32"/>
          <w:szCs w:val="32"/>
        </w:rPr>
        <w:t>月</w:t>
      </w:r>
      <w:r>
        <w:rPr>
          <w:rFonts w:eastAsia="仿宋"/>
          <w:kern w:val="0"/>
          <w:sz w:val="32"/>
          <w:szCs w:val="32"/>
        </w:rPr>
        <w:t>15</w:t>
      </w:r>
      <w:r>
        <w:rPr>
          <w:rFonts w:eastAsia="仿宋" w:hint="eastAsia"/>
          <w:kern w:val="0"/>
          <w:sz w:val="32"/>
          <w:szCs w:val="32"/>
        </w:rPr>
        <w:t>日</w:t>
      </w:r>
    </w:p>
    <w:p w:rsidR="009E5F95" w:rsidRDefault="009E5F95" w:rsidP="009E5F95">
      <w:pPr>
        <w:adjustRightInd w:val="0"/>
        <w:snapToGrid w:val="0"/>
        <w:spacing w:line="560" w:lineRule="exact"/>
      </w:pPr>
    </w:p>
    <w:p w:rsidR="009E5F95" w:rsidRDefault="009E5F95" w:rsidP="009E5F95">
      <w:pPr>
        <w:rPr>
          <w:rFonts w:ascii="Calibri" w:eastAsia="仿宋_GB2312" w:hAnsi="Calibri"/>
          <w:sz w:val="32"/>
          <w:szCs w:val="32"/>
        </w:rPr>
      </w:pPr>
    </w:p>
    <w:p w:rsidR="009E5F95" w:rsidRDefault="009E5F95" w:rsidP="009E5F95">
      <w:pPr>
        <w:rPr>
          <w:rFonts w:ascii="Calibri" w:eastAsia="仿宋_GB2312" w:hAnsi="Calibri"/>
          <w:sz w:val="32"/>
          <w:szCs w:val="32"/>
        </w:rPr>
      </w:pPr>
    </w:p>
    <w:p w:rsidR="009E5F95" w:rsidRDefault="009E5F95" w:rsidP="009E5F95">
      <w:pPr>
        <w:rPr>
          <w:rFonts w:ascii="Calibri" w:eastAsia="仿宋_GB2312" w:hAnsi="Calibri"/>
          <w:sz w:val="32"/>
          <w:szCs w:val="32"/>
        </w:rPr>
      </w:pPr>
    </w:p>
    <w:p w:rsidR="009E5F95" w:rsidRDefault="009E5F95" w:rsidP="009E5F95">
      <w:pPr>
        <w:rPr>
          <w:rFonts w:ascii="Calibri" w:eastAsia="仿宋_GB2312" w:hAnsi="Calibri"/>
          <w:sz w:val="32"/>
          <w:szCs w:val="32"/>
        </w:rPr>
      </w:pPr>
    </w:p>
    <w:p w:rsidR="009E5F95" w:rsidRDefault="009E5F95" w:rsidP="009E5F95">
      <w:pPr>
        <w:ind w:right="1150"/>
        <w:rPr>
          <w:rFonts w:ascii="Calibri" w:hAnsi="Calibri"/>
          <w:sz w:val="28"/>
          <w:szCs w:val="28"/>
        </w:rPr>
      </w:pPr>
    </w:p>
    <w:p w:rsidR="009E5F95" w:rsidRDefault="009E5F95" w:rsidP="009E5F95">
      <w:pPr>
        <w:ind w:right="1150"/>
        <w:jc w:val="right"/>
        <w:rPr>
          <w:rFonts w:ascii="Calibri" w:hAnsi="Calibri"/>
          <w:sz w:val="28"/>
          <w:szCs w:val="28"/>
        </w:rPr>
      </w:pPr>
    </w:p>
    <w:p w:rsidR="009E5F95" w:rsidRDefault="009E5F95" w:rsidP="009E5F95">
      <w:pPr>
        <w:ind w:right="1150"/>
        <w:jc w:val="right"/>
        <w:rPr>
          <w:rFonts w:ascii="Calibri" w:hAnsi="Calibri"/>
          <w:sz w:val="28"/>
          <w:szCs w:val="28"/>
        </w:rPr>
      </w:pPr>
    </w:p>
    <w:p w:rsidR="009E5F95" w:rsidRDefault="009E5F95" w:rsidP="009E5F95">
      <w:pPr>
        <w:ind w:right="1150"/>
        <w:jc w:val="right"/>
        <w:rPr>
          <w:rFonts w:ascii="Calibri" w:hAnsi="Calibri"/>
          <w:sz w:val="28"/>
          <w:szCs w:val="28"/>
        </w:rPr>
      </w:pPr>
    </w:p>
    <w:p w:rsidR="009E5F95" w:rsidRDefault="009E5F95" w:rsidP="009E5F95">
      <w:pPr>
        <w:ind w:right="1150"/>
        <w:jc w:val="right"/>
        <w:rPr>
          <w:rFonts w:ascii="Calibri" w:hAnsi="Calibri"/>
          <w:sz w:val="28"/>
          <w:szCs w:val="28"/>
        </w:rPr>
      </w:pPr>
      <w:bookmarkStart w:id="4" w:name="印章"/>
      <w:bookmarkEnd w:id="4"/>
    </w:p>
    <w:p w:rsidR="009E5F95" w:rsidRDefault="009E5F95" w:rsidP="009E5F95">
      <w:pPr>
        <w:ind w:right="1150"/>
        <w:jc w:val="left"/>
        <w:rPr>
          <w:rFonts w:eastAsia="仿宋_GB2312"/>
          <w:spacing w:val="-4"/>
          <w:sz w:val="32"/>
          <w:szCs w:val="32"/>
        </w:rPr>
      </w:pPr>
      <w:r>
        <w:rPr>
          <w:rFonts w:eastAsia="仿宋_GB2312" w:hint="eastAsia"/>
          <w:spacing w:val="-4"/>
          <w:sz w:val="32"/>
          <w:szCs w:val="32"/>
        </w:rPr>
        <w:t>（此件主动公开）</w:t>
      </w:r>
    </w:p>
    <w:p w:rsidR="009E5F95" w:rsidRDefault="009E5F95" w:rsidP="009E5F95">
      <w:pPr>
        <w:pBdr>
          <w:bottom w:val="single" w:sz="8" w:space="1" w:color="auto"/>
          <w:between w:val="single" w:sz="8" w:space="1" w:color="auto"/>
        </w:pBdr>
        <w:rPr>
          <w:rFonts w:ascii="方正小标宋简体" w:eastAsia="方正小标宋简体" w:hAnsi="宋体"/>
          <w:sz w:val="28"/>
          <w:szCs w:val="28"/>
        </w:rPr>
      </w:pPr>
    </w:p>
    <w:p w:rsidR="009E5F95" w:rsidRDefault="009E5F95" w:rsidP="009E5F95">
      <w:pPr>
        <w:pBdr>
          <w:bottom w:val="single" w:sz="8" w:space="1" w:color="auto"/>
          <w:between w:val="single" w:sz="8" w:space="1" w:color="auto"/>
        </w:pBdr>
        <w:ind w:firstLine="278"/>
        <w:jc w:val="left"/>
        <w:rPr>
          <w:rFonts w:eastAsia="仿宋_GB2312" w:hint="eastAsia"/>
          <w:sz w:val="28"/>
          <w:szCs w:val="28"/>
        </w:rPr>
      </w:pPr>
      <w:r>
        <w:rPr>
          <w:rFonts w:ascii="Calibri" w:eastAsia="仿宋_GB2312" w:hAnsi="Calibri" w:cs="仿宋_GB2312" w:hint="eastAsia"/>
          <w:sz w:val="28"/>
          <w:szCs w:val="28"/>
        </w:rPr>
        <w:t>浦东新区金融工作局办公室</w:t>
      </w:r>
      <w:r>
        <w:rPr>
          <w:rFonts w:ascii="Calibri" w:eastAsia="仿宋_GB2312" w:hAnsi="Calibri" w:cs="Calibri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 xml:space="preserve"> 2020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15</w:t>
      </w:r>
      <w:r>
        <w:rPr>
          <w:rFonts w:eastAsia="仿宋_GB2312" w:hint="eastAsia"/>
          <w:sz w:val="28"/>
          <w:szCs w:val="28"/>
        </w:rPr>
        <w:t>日印发</w:t>
      </w:r>
    </w:p>
    <w:p w:rsidR="009E5F95" w:rsidRDefault="009E5F95" w:rsidP="009E5F95">
      <w:pPr>
        <w:ind w:right="270"/>
        <w:jc w:val="right"/>
        <w:rPr>
          <w:rFonts w:ascii="Verdana" w:hAnsi="Verdana" w:cs="宋体"/>
          <w:kern w:val="0"/>
          <w:sz w:val="20"/>
          <w:szCs w:val="20"/>
        </w:rPr>
      </w:pPr>
      <w:r>
        <w:rPr>
          <w:rFonts w:eastAsia="仿宋_GB2312" w:hint="eastAsia"/>
          <w:sz w:val="28"/>
          <w:szCs w:val="28"/>
        </w:rPr>
        <w:t>（共印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份）</w:t>
      </w:r>
    </w:p>
    <w:p w:rsidR="009E5F95" w:rsidRDefault="009E5F95" w:rsidP="009E5F95">
      <w:pPr>
        <w:spacing w:line="20" w:lineRule="exact"/>
        <w:ind w:right="227"/>
        <w:jc w:val="left"/>
        <w:rPr>
          <w:sz w:val="28"/>
          <w:szCs w:val="28"/>
        </w:rPr>
      </w:pPr>
      <w:bookmarkStart w:id="5" w:name="缮印份数"/>
      <w:bookmarkEnd w:id="5"/>
    </w:p>
    <w:p w:rsidR="00E66914" w:rsidRDefault="00E66914"/>
    <w:sectPr w:rsidR="00E66914" w:rsidSect="009E5F95">
      <w:footerReference w:type="even" r:id="rId7"/>
      <w:footerReference w:type="default" r:id="rId8"/>
      <w:pgSz w:w="11906" w:h="16838"/>
      <w:pgMar w:top="2098" w:right="1588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2D" w:rsidRDefault="00415D2D" w:rsidP="009E5F95">
      <w:r>
        <w:separator/>
      </w:r>
    </w:p>
  </w:endnote>
  <w:endnote w:type="continuationSeparator" w:id="0">
    <w:p w:rsidR="00415D2D" w:rsidRDefault="00415D2D" w:rsidP="009E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460541"/>
      <w:docPartObj>
        <w:docPartGallery w:val="Page Numbers (Bottom of Page)"/>
        <w:docPartUnique/>
      </w:docPartObj>
    </w:sdtPr>
    <w:sdtContent>
      <w:p w:rsidR="009E5F95" w:rsidRDefault="009E5F9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F95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9E5F95" w:rsidRDefault="009E5F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561042"/>
      <w:docPartObj>
        <w:docPartGallery w:val="Page Numbers (Bottom of Page)"/>
        <w:docPartUnique/>
      </w:docPartObj>
    </w:sdtPr>
    <w:sdtContent>
      <w:p w:rsidR="009E5F95" w:rsidRDefault="009E5F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5F95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E5F95" w:rsidRDefault="009E5F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2D" w:rsidRDefault="00415D2D" w:rsidP="009E5F95">
      <w:r>
        <w:separator/>
      </w:r>
    </w:p>
  </w:footnote>
  <w:footnote w:type="continuationSeparator" w:id="0">
    <w:p w:rsidR="00415D2D" w:rsidRDefault="00415D2D" w:rsidP="009E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5"/>
    <w:rsid w:val="00415D2D"/>
    <w:rsid w:val="009E5F95"/>
    <w:rsid w:val="00E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9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F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F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9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F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刘玉琴:</dc:creator>
  <cp:lastModifiedBy>刘玉琴:</cp:lastModifiedBy>
  <cp:revision>1</cp:revision>
  <dcterms:created xsi:type="dcterms:W3CDTF">2020-02-03T02:09:00Z</dcterms:created>
  <dcterms:modified xsi:type="dcterms:W3CDTF">2020-02-03T02:11:00Z</dcterms:modified>
</cp:coreProperties>
</file>