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bCs/>
          <w:sz w:val="28"/>
          <w:szCs w:val="28"/>
          <w:lang w:eastAsia="zh-CN"/>
        </w:rPr>
      </w:pPr>
      <w:r>
        <w:rPr>
          <w:rFonts w:hint="eastAsia" w:ascii="华文中宋" w:hAnsi="华文中宋" w:eastAsia="华文中宋"/>
          <w:b/>
          <w:bCs/>
          <w:sz w:val="28"/>
          <w:szCs w:val="28"/>
          <w:lang w:eastAsia="zh-CN"/>
        </w:rPr>
        <w:t>中国（上海）自由贸易试验区管理委员会保税区管理局</w:t>
      </w:r>
    </w:p>
    <w:p>
      <w:pPr>
        <w:jc w:val="center"/>
        <w:rPr>
          <w:rFonts w:hint="default" w:ascii="华文中宋" w:hAnsi="华文中宋" w:eastAsia="华文中宋"/>
          <w:b/>
          <w:bCs/>
          <w:sz w:val="36"/>
          <w:szCs w:val="36"/>
          <w:lang w:val="en-US" w:eastAsia="zh-CN"/>
        </w:rPr>
      </w:pPr>
      <w:r>
        <w:rPr>
          <w:rFonts w:hint="eastAsia" w:ascii="华文中宋" w:hAnsi="华文中宋" w:eastAsia="华文中宋"/>
          <w:b/>
          <w:bCs/>
          <w:sz w:val="36"/>
          <w:szCs w:val="36"/>
          <w:lang w:val="en-US" w:eastAsia="zh-CN"/>
        </w:rPr>
        <w:t>2024年度法治政府建设情况报告</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2024年是党的二十届三中全会胜利召开之年，也是实现“十四五”规划目标任务的关键一年。一年来</w:t>
      </w:r>
      <w:r>
        <w:rPr>
          <w:rFonts w:hint="eastAsia" w:ascii="仿宋_GB2312" w:hAnsi="仿宋_GB2312" w:eastAsia="仿宋_GB2312" w:cs="仿宋_GB2312"/>
          <w:sz w:val="32"/>
          <w:szCs w:val="32"/>
        </w:rPr>
        <w:t>，保税区管理局党组</w:t>
      </w:r>
      <w:r>
        <w:rPr>
          <w:rFonts w:hint="eastAsia" w:ascii="仿宋_GB2312" w:hAnsi="仿宋_GB2312" w:eastAsia="仿宋_GB2312" w:cs="仿宋_GB2312"/>
          <w:sz w:val="32"/>
          <w:szCs w:val="32"/>
          <w:lang w:eastAsia="zh-CN"/>
        </w:rPr>
        <w:t>坚持以</w:t>
      </w:r>
      <w:r>
        <w:rPr>
          <w:rFonts w:hint="eastAsia" w:ascii="仿宋_GB2312" w:hAnsi="仿宋_GB2312" w:eastAsia="仿宋_GB2312" w:cs="仿宋_GB2312"/>
          <w:sz w:val="32"/>
          <w:szCs w:val="32"/>
        </w:rPr>
        <w:t>习近平法治思想</w:t>
      </w:r>
      <w:r>
        <w:rPr>
          <w:rFonts w:hint="eastAsia" w:ascii="仿宋_GB2312" w:hAnsi="仿宋_GB2312" w:eastAsia="仿宋_GB2312" w:cs="仿宋_GB2312"/>
          <w:sz w:val="32"/>
          <w:szCs w:val="32"/>
          <w:lang w:eastAsia="zh-CN"/>
        </w:rPr>
        <w:t>为指导，</w:t>
      </w:r>
      <w:r>
        <w:rPr>
          <w:rFonts w:hint="eastAsia" w:ascii="仿宋_GB2312" w:hAnsi="仿宋_GB2312" w:eastAsia="仿宋_GB2312" w:cs="仿宋_GB2312"/>
          <w:sz w:val="32"/>
          <w:szCs w:val="32"/>
        </w:rPr>
        <w:t>积极学习</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党的</w:t>
      </w:r>
      <w:r>
        <w:rPr>
          <w:rFonts w:hint="eastAsia" w:ascii="仿宋_GB2312" w:hAnsi="仿宋_GB2312" w:eastAsia="仿宋_GB2312" w:cs="仿宋_GB2312"/>
          <w:sz w:val="32"/>
          <w:szCs w:val="32"/>
          <w:lang w:eastAsia="zh-CN"/>
        </w:rPr>
        <w:t>二十届三中全会</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围绕保税区域高水平改革开放、高质量创新发展的工作目标和任务，全面落实</w:t>
      </w:r>
      <w:r>
        <w:rPr>
          <w:rFonts w:hint="eastAsia" w:ascii="仿宋_GB2312" w:hAnsi="仿宋_GB2312" w:eastAsia="仿宋_GB2312" w:cs="仿宋_GB2312"/>
          <w:sz w:val="32"/>
          <w:szCs w:val="32"/>
        </w:rPr>
        <w:t>法治建设责任制，不断加强法治建设、优化制度供给、规范执法实践、强化底线思维、增强风险意识，不断提升区域</w:t>
      </w:r>
      <w:r>
        <w:rPr>
          <w:rFonts w:hint="eastAsia" w:ascii="仿宋_GB2312" w:hAnsi="仿宋_GB2312" w:eastAsia="仿宋_GB2312" w:cs="仿宋_GB2312"/>
          <w:sz w:val="32"/>
          <w:szCs w:val="32"/>
          <w:lang w:eastAsia="zh-CN"/>
        </w:rPr>
        <w:t>市场化、</w:t>
      </w:r>
      <w:r>
        <w:rPr>
          <w:rFonts w:hint="eastAsia" w:ascii="仿宋_GB2312" w:hAnsi="仿宋_GB2312" w:eastAsia="仿宋_GB2312" w:cs="仿宋_GB2312"/>
          <w:sz w:val="32"/>
          <w:szCs w:val="32"/>
        </w:rPr>
        <w:t>法治化、国际化的营商环境，现将有关工作情况报告如下：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总体工作情况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）规范行政行为，扎实推进依法行政工作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一是着力强化</w:t>
      </w:r>
      <w:r>
        <w:rPr>
          <w:rFonts w:hint="eastAsia" w:ascii="仿宋_GB2312" w:hAnsi="仿宋_GB2312" w:eastAsia="仿宋_GB2312" w:cs="仿宋_GB2312"/>
          <w:b/>
          <w:bCs/>
          <w:sz w:val="32"/>
          <w:szCs w:val="32"/>
          <w:lang w:val="en-US" w:eastAsia="zh-CN"/>
        </w:rPr>
        <w:t>法治</w:t>
      </w:r>
      <w:r>
        <w:rPr>
          <w:rFonts w:hint="eastAsia" w:ascii="仿宋_GB2312" w:hAnsi="仿宋_GB2312" w:eastAsia="仿宋_GB2312" w:cs="仿宋_GB2312"/>
          <w:b/>
          <w:bCs/>
          <w:sz w:val="32"/>
          <w:szCs w:val="32"/>
          <w:lang w:eastAsia="zh-CN"/>
        </w:rPr>
        <w:t>意识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进一步提升干部法治素养和依法履职能力水平，</w:t>
      </w:r>
      <w:r>
        <w:rPr>
          <w:rFonts w:hint="eastAsia" w:ascii="仿宋_GB2312" w:hAnsi="宋体" w:eastAsia="仿宋_GB2312"/>
          <w:sz w:val="32"/>
          <w:szCs w:val="32"/>
          <w:lang w:val="en-US" w:eastAsia="zh-CN"/>
        </w:rPr>
        <w:t>邀请华东政法大学副校长罗培新教授对管理局领导干部开展专题讲座，学习习近平法治思想</w:t>
      </w:r>
      <w:r>
        <w:rPr>
          <w:rFonts w:hint="eastAsia" w:ascii="仿宋_GB2312" w:hAnsi="仿宋_GB2312" w:eastAsia="仿宋_GB2312" w:cs="仿宋_GB2312"/>
          <w:sz w:val="32"/>
          <w:szCs w:val="32"/>
          <w:lang w:eastAsia="zh-CN"/>
        </w:rPr>
        <w:t>；邀请法律顾问蒋红珍教授对管理局行政人员、一线执法人员等开展专题培训，学习贯彻新《行政复议法》</w:t>
      </w:r>
      <w:r>
        <w:rPr>
          <w:rFonts w:hint="eastAsia" w:ascii="仿宋_GB2312" w:hAnsi="宋体" w:eastAsia="仿宋_GB2312"/>
          <w:sz w:val="32"/>
          <w:szCs w:val="32"/>
          <w:lang w:val="en-US" w:eastAsia="zh-CN"/>
        </w:rPr>
        <w:t>。组织</w:t>
      </w:r>
      <w:r>
        <w:rPr>
          <w:rFonts w:hint="eastAsia" w:ascii="仿宋_GB2312" w:hAnsi="仿宋_GB2312" w:eastAsia="仿宋_GB2312" w:cs="仿宋_GB2312"/>
          <w:sz w:val="32"/>
          <w:szCs w:val="32"/>
          <w:lang w:eastAsia="zh-CN"/>
        </w:rPr>
        <w:t>管理局干部积极参加法治思想主题征文、优秀法治文化作品征集等活动，上报主题征文6篇、研究成果2件，其中1篇征文获评浦东新区法学会征文优秀法治论文。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二是积极推进依法行政。</w:t>
      </w:r>
      <w:r>
        <w:rPr>
          <w:rFonts w:hint="eastAsia" w:ascii="仿宋_GB2312" w:hAnsi="仿宋_GB2312" w:eastAsia="仿宋_GB2312" w:cs="仿宋_GB2312"/>
          <w:sz w:val="32"/>
          <w:szCs w:val="32"/>
          <w:lang w:eastAsia="zh-CN"/>
        </w:rPr>
        <w:t>严格落实执法人员持证上岗和资格管理制度，督促各</w:t>
      </w:r>
      <w:r>
        <w:rPr>
          <w:rFonts w:hint="eastAsia" w:ascii="仿宋_GB2312" w:hAnsi="仿宋_GB2312" w:eastAsia="仿宋_GB2312" w:cs="仿宋_GB2312"/>
          <w:sz w:val="32"/>
          <w:szCs w:val="32"/>
        </w:rPr>
        <w:t>职能处室规范做好行政许可、行政处罚、企业服务</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执法案卷评查，</w:t>
      </w:r>
      <w:r>
        <w:rPr>
          <w:rFonts w:hint="eastAsia" w:ascii="仿宋_GB2312" w:hAnsi="仿宋_GB2312" w:eastAsia="仿宋_GB2312" w:cs="仿宋_GB2312"/>
          <w:sz w:val="32"/>
          <w:szCs w:val="32"/>
          <w:lang w:eastAsia="zh-CN"/>
        </w:rPr>
        <w:t>不断规范</w:t>
      </w:r>
      <w:r>
        <w:rPr>
          <w:rFonts w:hint="eastAsia" w:ascii="仿宋_GB2312" w:hAnsi="仿宋_GB2312" w:eastAsia="仿宋_GB2312" w:cs="仿宋_GB2312"/>
          <w:sz w:val="32"/>
          <w:szCs w:val="32"/>
        </w:rPr>
        <w:t>行政许可、行政处罚行为。</w:t>
      </w:r>
      <w:r>
        <w:rPr>
          <w:rFonts w:hint="eastAsia" w:ascii="仿宋_GB2312" w:hAnsi="仿宋_GB2312" w:eastAsia="仿宋_GB2312" w:cs="仿宋_GB2312"/>
          <w:sz w:val="32"/>
          <w:szCs w:val="32"/>
          <w:lang w:eastAsia="zh-CN"/>
        </w:rPr>
        <w:t>积极选送</w:t>
      </w:r>
      <w:r>
        <w:rPr>
          <w:rFonts w:hint="eastAsia" w:ascii="仿宋_GB2312" w:hAnsi="仿宋_GB2312" w:eastAsia="仿宋_GB2312" w:cs="仿宋_GB2312"/>
          <w:sz w:val="32"/>
          <w:szCs w:val="32"/>
        </w:rPr>
        <w:t>优秀执法案例</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1件入围新区优秀执法案例。</w:t>
      </w:r>
      <w:r>
        <w:rPr>
          <w:rFonts w:hint="eastAsia" w:ascii="仿宋_GB2312" w:hAnsi="楷体" w:eastAsia="仿宋_GB2312" w:cs="Times New Roman"/>
          <w:sz w:val="32"/>
          <w:szCs w:val="32"/>
          <w:lang w:val="en-US" w:eastAsia="zh-CN"/>
        </w:rPr>
        <w:t>持续做好妨碍统一市场和公平竞争的政策措施清理，推动建立管理局公平竞争审查内部工作制度。配合</w:t>
      </w:r>
      <w:r>
        <w:rPr>
          <w:rFonts w:hint="eastAsia" w:ascii="仿宋_GB2312" w:hAnsi="楷体" w:eastAsia="仿宋_GB2312" w:cs="Times New Roman"/>
          <w:sz w:val="32"/>
          <w:szCs w:val="32"/>
          <w:lang w:eastAsia="zh-CN"/>
        </w:rPr>
        <w:t>完成10余件法规规章、规范性文件的执行评估、清理工作。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b/>
          <w:bCs/>
          <w:sz w:val="32"/>
          <w:szCs w:val="32"/>
          <w:lang w:eastAsia="zh-CN"/>
        </w:rPr>
        <w:t>积极预防</w:t>
      </w:r>
      <w:r>
        <w:rPr>
          <w:rFonts w:hint="eastAsia" w:ascii="仿宋_GB2312" w:hAnsi="仿宋_GB2312" w:eastAsia="仿宋_GB2312" w:cs="仿宋_GB2312"/>
          <w:b/>
          <w:bCs/>
          <w:sz w:val="32"/>
          <w:szCs w:val="32"/>
        </w:rPr>
        <w:t>行政争议。</w:t>
      </w:r>
      <w:r>
        <w:rPr>
          <w:rFonts w:hint="eastAsia" w:ascii="仿宋_GB2312" w:hAnsi="仿宋_GB2312" w:eastAsia="仿宋_GB2312" w:cs="仿宋_GB2312"/>
          <w:sz w:val="32"/>
          <w:szCs w:val="32"/>
          <w:lang w:eastAsia="zh-CN"/>
        </w:rPr>
        <w:t>建立完善重大案件集体讨论制度；对较复杂、可能引起行政复议或诉讼的行政执法类案件，要求法治保障部门提前参与案件讨论，降低行政纠纷发生几率。</w:t>
      </w:r>
      <w:r>
        <w:rPr>
          <w:rFonts w:hint="eastAsia" w:ascii="仿宋_GB2312" w:hAnsi="仿宋_GB2312" w:eastAsia="仿宋_GB2312" w:cs="仿宋_GB2312"/>
          <w:sz w:val="32"/>
          <w:szCs w:val="32"/>
        </w:rPr>
        <w:t>本年度，未收到司法建议书和复议建议书、意见书。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四是大力开展普法宣传。</w:t>
      </w:r>
      <w:r>
        <w:rPr>
          <w:rFonts w:hint="eastAsia" w:ascii="仿宋_GB2312" w:hAnsi="仿宋_GB2312" w:eastAsia="仿宋_GB2312" w:cs="仿宋_GB2312"/>
          <w:sz w:val="32"/>
          <w:szCs w:val="32"/>
          <w:lang w:val="en-US" w:eastAsia="zh-CN"/>
        </w:rPr>
        <w:t>切实贯彻“谁执法谁普法”责任制，落实年度普法计划及责任清单，全年完成六大系列22项法治宣传主题活动。指导外集团成功举办“2024年外高桥法治嘉年华”活动,营造“三高”区域法治文化新氛围。及时总结、主动报送法治工作亮点，提升区域法治工作显示度，年内形成法治相关信息28篇，其中7篇信息获“法治浦东”“浦东发布”等多家官方媒体录用发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五是严格落实保密工作。</w:t>
      </w:r>
      <w:r>
        <w:rPr>
          <w:rFonts w:hint="eastAsia" w:ascii="仿宋_GB2312" w:hAnsi="仿宋_GB2312" w:eastAsia="仿宋_GB2312" w:cs="仿宋_GB2312"/>
          <w:sz w:val="32"/>
          <w:szCs w:val="32"/>
        </w:rPr>
        <w:t>加强机关日常保密管理，认真做好涉密人员管理、定密数据统计、密码工作自查自评等工作。重点加强计算机网络安全管理，落实责任，加大督促检查力度。保密普法宣传教育常抓不懈，</w:t>
      </w:r>
      <w:r>
        <w:rPr>
          <w:rFonts w:hint="eastAsia" w:ascii="仿宋_GB2312" w:hAnsi="仿宋_GB2312" w:eastAsia="仿宋_GB2312" w:cs="仿宋_GB2312"/>
          <w:sz w:val="32"/>
          <w:szCs w:val="32"/>
          <w:lang w:eastAsia="zh-CN"/>
        </w:rPr>
        <w:t>以新修订的《中华人民共和国保守国家秘密法》颁布施行为契机，组织</w:t>
      </w:r>
      <w:r>
        <w:rPr>
          <w:rFonts w:hint="eastAsia" w:ascii="仿宋_GB2312" w:hAnsi="仿宋_GB2312" w:eastAsia="仿宋_GB2312" w:cs="仿宋_GB2312"/>
          <w:sz w:val="32"/>
          <w:szCs w:val="32"/>
          <w:lang w:val="en-US" w:eastAsia="zh-CN"/>
        </w:rPr>
        <w:t>226人参加“2024年度全国保密教育线上培训”、组织各部门主要负责人和涉密人员观看警示教育片、</w:t>
      </w:r>
      <w:r>
        <w:rPr>
          <w:rFonts w:hint="eastAsia" w:ascii="仿宋_GB2312" w:hAnsi="仿宋_GB2312" w:eastAsia="仿宋_GB2312" w:cs="仿宋_GB2312"/>
          <w:sz w:val="32"/>
          <w:szCs w:val="32"/>
        </w:rPr>
        <w:t>组织开展“4.15”全民国家安全教育日保密宣传系列活动。OA系统保密普法专栏持续更新。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六是加大政务公开工作力度。</w:t>
      </w:r>
      <w:r>
        <w:rPr>
          <w:rFonts w:hint="eastAsia" w:ascii="仿宋_GB2312" w:hAnsi="仿宋_GB2312" w:eastAsia="仿宋_GB2312" w:cs="仿宋_GB2312"/>
          <w:sz w:val="32"/>
          <w:szCs w:val="32"/>
        </w:rPr>
        <w:t>坚持以公开为常态、不公开为例外原则，大力推进决策、执行、管理、服务、结果公开。加强管理局门户网站栏目更新管理，提高信息发布的数量和质量，满足市场主体对相关政务信息的需求。加大公文主动公开力度，依法做好申请公开的办理，今年办理依申请公开</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件。开展“</w:t>
      </w:r>
      <w:r>
        <w:rPr>
          <w:rFonts w:hint="eastAsia" w:ascii="仿宋_GB2312" w:hAnsi="仿宋_GB2312" w:eastAsia="仿宋_GB2312" w:cs="仿宋_GB2312"/>
          <w:sz w:val="32"/>
          <w:szCs w:val="32"/>
          <w:lang w:eastAsia="zh-CN"/>
        </w:rPr>
        <w:t>面对面感受综合执法</w:t>
      </w:r>
      <w:r>
        <w:rPr>
          <w:rFonts w:hint="eastAsia" w:ascii="仿宋_GB2312" w:hAnsi="仿宋_GB2312" w:eastAsia="仿宋_GB2312" w:cs="仿宋_GB2312"/>
          <w:sz w:val="32"/>
          <w:szCs w:val="32"/>
        </w:rPr>
        <w:t>”为主题的政府开放日活动。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）完善基础保障，持续健全依法行政机制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 xml:space="preserve"> 一是运用法治思维，在法治轨道上推进政策实施。</w:t>
      </w:r>
      <w:r>
        <w:rPr>
          <w:rFonts w:hint="eastAsia" w:ascii="仿宋_GB2312" w:hAnsi="仿宋_GB2312" w:eastAsia="仿宋_GB2312" w:cs="仿宋_GB2312"/>
          <w:sz w:val="32"/>
          <w:szCs w:val="32"/>
          <w:lang w:eastAsia="zh-CN"/>
        </w:rPr>
        <w:t>严格履行程序规定，按照管理局重大行政决策工作规范，统筹推进年度重大行政决策事项“保税区域推进“丝路电商”合作先行区中心功能区建设工作方案”各项工作。按市政府、区政府相关立法工作要求，积极推进《上海东方枢纽国际商务合作区管理办法》拟制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是发挥专业队伍力量，持续完善法律顾问工作机制。</w:t>
      </w:r>
      <w:r>
        <w:rPr>
          <w:rFonts w:hint="eastAsia" w:ascii="仿宋_GB2312" w:hAnsi="仿宋_GB2312" w:eastAsia="仿宋_GB2312" w:cs="仿宋_GB2312"/>
          <w:sz w:val="32"/>
          <w:szCs w:val="32"/>
          <w:lang w:eastAsia="zh-CN"/>
        </w:rPr>
        <w:t>完成管理局第四届外聘法律顾问聘任工作，形成2名法学专家、3名专职律师的顾问团队。丰富法律顾问参与区域法治建设方式，法律顾问</w:t>
      </w:r>
      <w:r>
        <w:rPr>
          <w:rFonts w:hint="eastAsia" w:ascii="仿宋_GB2312" w:hAnsi="仿宋_GB2312" w:eastAsia="仿宋_GB2312" w:cs="仿宋_GB2312"/>
          <w:sz w:val="32"/>
          <w:szCs w:val="32"/>
        </w:rPr>
        <w:t>持续深度参与</w:t>
      </w:r>
      <w:r>
        <w:rPr>
          <w:rFonts w:hint="eastAsia" w:ascii="仿宋_GB2312" w:hAnsi="仿宋_GB2312" w:eastAsia="仿宋_GB2312" w:cs="仿宋_GB2312"/>
          <w:sz w:val="32"/>
          <w:szCs w:val="32"/>
          <w:lang w:eastAsia="zh-CN"/>
        </w:rPr>
        <w:t>区域相关政策文件、管理规定以及重大行政决策制订工作，及时反馈专业法律意见；</w:t>
      </w:r>
      <w:r>
        <w:rPr>
          <w:rFonts w:hint="eastAsia" w:ascii="仿宋_GB2312" w:hAnsi="仿宋_GB2312" w:eastAsia="仿宋_GB2312" w:cs="仿宋_GB2312"/>
          <w:sz w:val="32"/>
          <w:szCs w:val="32"/>
        </w:rPr>
        <w:t>积极参与行政</w:t>
      </w:r>
      <w:r>
        <w:rPr>
          <w:rFonts w:hint="eastAsia" w:ascii="仿宋_GB2312" w:hAnsi="仿宋_GB2312" w:eastAsia="仿宋_GB2312" w:cs="仿宋_GB2312"/>
          <w:sz w:val="32"/>
          <w:szCs w:val="32"/>
          <w:lang w:eastAsia="zh-CN"/>
        </w:rPr>
        <w:t>案例讨论，提供咨询意见；深度</w:t>
      </w:r>
      <w:r>
        <w:rPr>
          <w:rFonts w:hint="eastAsia" w:ascii="仿宋_GB2312" w:hAnsi="仿宋_GB2312" w:eastAsia="仿宋_GB2312" w:cs="仿宋_GB2312"/>
          <w:sz w:val="32"/>
          <w:szCs w:val="32"/>
        </w:rPr>
        <w:t>参与局内各类合同的法律审核工作</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局内公职律师积极办理各类涉法业务，有效开展工作。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三是发挥法律服务作用，围绕中心工作提供法治保障。</w:t>
      </w:r>
      <w:r>
        <w:rPr>
          <w:rFonts w:hint="eastAsia" w:ascii="仿宋_GB2312" w:hAnsi="仿宋_GB2312" w:eastAsia="仿宋_GB2312" w:cs="仿宋_GB2312"/>
          <w:sz w:val="32"/>
          <w:szCs w:val="32"/>
          <w:lang w:eastAsia="zh-CN"/>
        </w:rPr>
        <w:t>完成部门相关工作法律意见征求工作</w:t>
      </w:r>
      <w:r>
        <w:rPr>
          <w:rFonts w:hint="eastAsia" w:ascii="仿宋_GB2312" w:hAnsi="仿宋_GB2312" w:eastAsia="仿宋_GB2312" w:cs="仿宋_GB2312"/>
          <w:sz w:val="32"/>
          <w:szCs w:val="32"/>
          <w:lang w:val="en-US" w:eastAsia="zh-CN"/>
        </w:rPr>
        <w:t>50余</w:t>
      </w:r>
      <w:r>
        <w:rPr>
          <w:rFonts w:hint="eastAsia" w:ascii="仿宋_GB2312" w:hAnsi="仿宋_GB2312" w:eastAsia="仿宋_GB2312" w:cs="仿宋_GB2312"/>
          <w:sz w:val="32"/>
          <w:szCs w:val="32"/>
          <w:lang w:eastAsia="zh-CN"/>
        </w:rPr>
        <w:t>件；加强合同日常管理工作，年内完成合同审查</w:t>
      </w:r>
      <w:r>
        <w:rPr>
          <w:rFonts w:hint="eastAsia" w:ascii="仿宋_GB2312" w:hAnsi="仿宋_GB2312" w:eastAsia="仿宋_GB2312" w:cs="仿宋_GB2312"/>
          <w:sz w:val="32"/>
          <w:szCs w:val="32"/>
          <w:lang w:val="en-US" w:eastAsia="zh-CN"/>
        </w:rPr>
        <w:t>350余</w:t>
      </w:r>
      <w:r>
        <w:rPr>
          <w:rFonts w:hint="eastAsia" w:ascii="仿宋_GB2312" w:hAnsi="仿宋_GB2312" w:eastAsia="仿宋_GB2312" w:cs="仿宋_GB2312"/>
          <w:sz w:val="32"/>
          <w:szCs w:val="32"/>
          <w:lang w:eastAsia="zh-CN"/>
        </w:rPr>
        <w:t>件，未发生因管理失误或未积极应对导致的合同纠纷。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提升工作方式</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主动加强区域法治建设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一是注重创新法治宣传方式、形成特色。</w:t>
      </w:r>
      <w:r>
        <w:rPr>
          <w:rFonts w:hint="eastAsia" w:ascii="仿宋_GB2312" w:hAnsi="仿宋_GB2312" w:eastAsia="仿宋_GB2312" w:cs="仿宋_GB2312"/>
          <w:sz w:val="32"/>
          <w:szCs w:val="32"/>
          <w:lang w:eastAsia="zh-CN"/>
        </w:rPr>
        <w:t>探索推进“传统+创新”的宣传模式，进一步扩大宣传阵地，拓展普法平台。举办保税区综合执法十周年宣传活动，促进市场主体对区域法治化营商环境有进一步的了解和认同；开展2024年外高桥法治嘉年华活动，响应第二届上海法治文化节主题要求，营造富有区域特色的法治文化氛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二是注重精准界定涉密岗位，进一步提升信息公开保密审查规范性。</w:t>
      </w:r>
      <w:r>
        <w:rPr>
          <w:rFonts w:hint="eastAsia" w:ascii="仿宋_GB2312" w:hAnsi="仿宋_GB2312" w:eastAsia="仿宋_GB2312" w:cs="仿宋_GB2312"/>
          <w:sz w:val="32"/>
          <w:szCs w:val="32"/>
          <w:lang w:eastAsia="zh-CN"/>
        </w:rPr>
        <w:t>强化措施机制，加强涉密人员管理，梳理并确定涉密岗位和涉密人员。由局保密委员会会议研究审议并发文，指定局分管领导和办公室主任等3人为局定密责任人，负责相应权限的信息公开保密审查。同时，修订信息公开保密审查制度，进一步完善审批流程，严格按照信息公开保密审查制度，落实好相关工作。目前，我局保密工作开展总体顺利，保密安全基本可控。</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二、述法工作开展情况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管理局党组高度重视自贸试验区保税区域的法治建设工作，坚持常抓、常议、常学习。党</w:t>
      </w:r>
      <w:r>
        <w:rPr>
          <w:rFonts w:hint="eastAsia" w:ascii="仿宋_GB2312" w:hAnsi="宋体" w:eastAsia="仿宋_GB2312"/>
          <w:sz w:val="32"/>
          <w:szCs w:val="32"/>
          <w:lang w:eastAsia="zh-CN"/>
        </w:rPr>
        <w:t>组书记</w:t>
      </w:r>
      <w:r>
        <w:rPr>
          <w:rFonts w:hint="eastAsia" w:ascii="仿宋_GB2312" w:hAnsi="宋体" w:eastAsia="仿宋_GB2312"/>
          <w:sz w:val="32"/>
          <w:szCs w:val="32"/>
        </w:rPr>
        <w:t>严格履行推进法治建设第一责任人职责，将法治建设融入</w:t>
      </w:r>
      <w:r>
        <w:rPr>
          <w:rFonts w:hint="eastAsia" w:ascii="仿宋_GB2312" w:hAnsi="宋体" w:eastAsia="仿宋_GB2312"/>
          <w:sz w:val="32"/>
          <w:szCs w:val="32"/>
          <w:lang w:eastAsia="zh-CN"/>
        </w:rPr>
        <w:t>管理</w:t>
      </w:r>
      <w:r>
        <w:rPr>
          <w:rFonts w:hint="eastAsia" w:ascii="仿宋_GB2312" w:hAnsi="宋体" w:eastAsia="仿宋_GB2312"/>
          <w:sz w:val="32"/>
          <w:szCs w:val="32"/>
        </w:rPr>
        <w:t>局各项</w:t>
      </w:r>
      <w:r>
        <w:rPr>
          <w:rFonts w:hint="eastAsia" w:ascii="仿宋_GB2312" w:hAnsi="宋体" w:eastAsia="仿宋_GB2312"/>
          <w:sz w:val="32"/>
          <w:szCs w:val="32"/>
          <w:lang w:eastAsia="zh-CN"/>
        </w:rPr>
        <w:t>工作</w:t>
      </w:r>
      <w:r>
        <w:rPr>
          <w:rFonts w:hint="eastAsia" w:ascii="仿宋_GB2312" w:hAnsi="宋体" w:eastAsia="仿宋_GB2312"/>
          <w:sz w:val="32"/>
          <w:szCs w:val="32"/>
        </w:rPr>
        <w:t>，为</w:t>
      </w:r>
      <w:r>
        <w:rPr>
          <w:rFonts w:hint="eastAsia" w:ascii="仿宋_GB2312" w:hAnsi="宋体" w:eastAsia="仿宋_GB2312"/>
          <w:sz w:val="32"/>
          <w:szCs w:val="32"/>
          <w:lang w:eastAsia="zh-CN"/>
        </w:rPr>
        <w:t>深入推进</w:t>
      </w:r>
      <w:r>
        <w:rPr>
          <w:rFonts w:hint="eastAsia" w:ascii="仿宋_GB2312" w:hAnsi="宋体" w:eastAsia="仿宋_GB2312"/>
          <w:sz w:val="32"/>
          <w:szCs w:val="32"/>
        </w:rPr>
        <w:t>改革创新、全面优化营商环境提供充分的法治保障和服务。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 w:eastAsia="zh-CN"/>
        </w:rPr>
        <w:t>（一）总体情况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auto"/>
        <w:rPr>
          <w:rFonts w:hint="eastAsia" w:ascii="仿宋_GB2312" w:hAnsi="宋体" w:eastAsia="仿宋_GB2312"/>
          <w:sz w:val="32"/>
          <w:szCs w:val="32"/>
        </w:rPr>
      </w:pPr>
      <w:r>
        <w:rPr>
          <w:rFonts w:hint="eastAsia" w:ascii="仿宋_GB2312" w:hAnsi="宋体" w:eastAsia="仿宋_GB2312"/>
          <w:b/>
          <w:bCs/>
          <w:sz w:val="32"/>
          <w:szCs w:val="32"/>
        </w:rPr>
        <w:t>一是</w:t>
      </w:r>
      <w:r>
        <w:rPr>
          <w:rFonts w:hint="eastAsia" w:ascii="仿宋_GB2312" w:hAnsi="宋体" w:eastAsia="仿宋_GB2312"/>
          <w:b/>
          <w:bCs/>
          <w:sz w:val="32"/>
          <w:szCs w:val="32"/>
          <w:lang w:eastAsia="zh-CN"/>
        </w:rPr>
        <w:t>带头</w:t>
      </w:r>
      <w:r>
        <w:rPr>
          <w:rFonts w:hint="eastAsia" w:ascii="仿宋_GB2312" w:hAnsi="宋体" w:eastAsia="仿宋_GB2312"/>
          <w:b/>
          <w:bCs/>
          <w:sz w:val="32"/>
          <w:szCs w:val="32"/>
        </w:rPr>
        <w:t>深入学习</w:t>
      </w:r>
      <w:r>
        <w:rPr>
          <w:rFonts w:hint="eastAsia" w:ascii="仿宋_GB2312" w:hAnsi="宋体" w:eastAsia="仿宋_GB2312"/>
          <w:sz w:val="32"/>
          <w:szCs w:val="32"/>
        </w:rPr>
        <w:t>，</w:t>
      </w:r>
      <w:r>
        <w:rPr>
          <w:rFonts w:hint="eastAsia" w:ascii="仿宋_GB2312" w:hAnsi="宋体" w:eastAsia="仿宋_GB2312"/>
          <w:sz w:val="32"/>
          <w:szCs w:val="32"/>
          <w:lang w:eastAsia="zh-CN"/>
        </w:rPr>
        <w:t>党组书记按照</w:t>
      </w:r>
      <w:r>
        <w:rPr>
          <w:rFonts w:hint="eastAsia" w:ascii="仿宋_GB2312" w:hAnsi="仿宋" w:eastAsia="仿宋_GB2312" w:cs="Times New Roman"/>
          <w:sz w:val="32"/>
          <w:szCs w:val="32"/>
          <w:lang w:eastAsia="zh-CN"/>
        </w:rPr>
        <w:t>《领导干部应知应会法律法规学习方案》（</w:t>
      </w:r>
      <w:r>
        <w:rPr>
          <w:rFonts w:hint="eastAsia" w:ascii="仿宋_GB2312" w:hAnsi="仿宋" w:eastAsia="仿宋_GB2312" w:cs="Times New Roman"/>
          <w:sz w:val="32"/>
          <w:szCs w:val="32"/>
          <w:lang w:val="en-US" w:eastAsia="zh-CN"/>
        </w:rPr>
        <w:t>2024版</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lang w:val="en" w:eastAsia="zh-CN"/>
        </w:rPr>
        <w:t>,</w:t>
      </w:r>
      <w:r>
        <w:rPr>
          <w:rFonts w:hint="eastAsia" w:ascii="仿宋_GB2312" w:hAnsi="仿宋_GB2312" w:eastAsia="仿宋_GB2312" w:cs="仿宋_GB2312"/>
          <w:sz w:val="32"/>
          <w:szCs w:val="32"/>
          <w:lang w:eastAsia="zh-CN"/>
        </w:rPr>
        <w:t>带头尊法学法守法用法。结合学习贯彻党的二十届三中全会精神，带领党员干部深入领会全会提出的“法治是中国式现代化的重要保障”。</w:t>
      </w:r>
      <w:r>
        <w:rPr>
          <w:rFonts w:hint="eastAsia" w:ascii="仿宋_GB2312" w:hAnsi="宋体" w:eastAsia="仿宋_GB2312"/>
          <w:b/>
          <w:bCs/>
          <w:sz w:val="32"/>
          <w:szCs w:val="32"/>
        </w:rPr>
        <w:t>二是</w:t>
      </w:r>
      <w:r>
        <w:rPr>
          <w:rFonts w:hint="eastAsia" w:ascii="仿宋_GB2312" w:hAnsi="宋体" w:eastAsia="仿宋_GB2312"/>
          <w:b/>
          <w:bCs/>
          <w:sz w:val="32"/>
          <w:szCs w:val="32"/>
          <w:lang w:eastAsia="zh-CN"/>
        </w:rPr>
        <w:t>主动</w:t>
      </w:r>
      <w:r>
        <w:rPr>
          <w:rFonts w:hint="eastAsia" w:ascii="仿宋_GB2312" w:hAnsi="宋体" w:eastAsia="仿宋_GB2312"/>
          <w:b/>
          <w:bCs/>
          <w:sz w:val="32"/>
          <w:szCs w:val="32"/>
        </w:rPr>
        <w:t>加强研究</w:t>
      </w:r>
      <w:r>
        <w:rPr>
          <w:rFonts w:hint="eastAsia" w:ascii="仿宋_GB2312" w:hAnsi="宋体" w:eastAsia="仿宋_GB2312"/>
          <w:sz w:val="32"/>
          <w:szCs w:val="32"/>
        </w:rPr>
        <w:t>，将法治建设工作纳入年度工作计划，召开局党组会议、专题会议，研究部署法治</w:t>
      </w:r>
      <w:r>
        <w:rPr>
          <w:rFonts w:hint="eastAsia" w:ascii="仿宋_GB2312" w:hAnsi="宋体" w:eastAsia="仿宋_GB2312"/>
          <w:sz w:val="32"/>
          <w:szCs w:val="32"/>
          <w:lang w:eastAsia="zh-CN"/>
        </w:rPr>
        <w:t>责任制</w:t>
      </w:r>
      <w:r>
        <w:rPr>
          <w:rFonts w:hint="eastAsia" w:ascii="仿宋_GB2312" w:hAnsi="宋体" w:eastAsia="仿宋_GB2312"/>
          <w:sz w:val="32"/>
          <w:szCs w:val="32"/>
        </w:rPr>
        <w:t>工作，把建设法治政府摆在全局工作的重要位置。</w:t>
      </w:r>
      <w:r>
        <w:rPr>
          <w:rFonts w:hint="eastAsia" w:ascii="仿宋_GB2312" w:hAnsi="宋体" w:eastAsia="仿宋_GB2312"/>
          <w:b/>
          <w:bCs/>
          <w:sz w:val="32"/>
          <w:szCs w:val="32"/>
        </w:rPr>
        <w:t>三是</w:t>
      </w:r>
      <w:r>
        <w:rPr>
          <w:rFonts w:hint="eastAsia" w:ascii="仿宋_GB2312" w:hAnsi="宋体" w:eastAsia="仿宋_GB2312"/>
          <w:b/>
          <w:bCs/>
          <w:sz w:val="32"/>
          <w:szCs w:val="32"/>
          <w:lang w:eastAsia="zh-CN"/>
        </w:rPr>
        <w:t>积极</w:t>
      </w:r>
      <w:r>
        <w:rPr>
          <w:rFonts w:hint="eastAsia" w:ascii="仿宋_GB2312" w:hAnsi="宋体" w:eastAsia="仿宋_GB2312"/>
          <w:b/>
          <w:bCs/>
          <w:sz w:val="32"/>
          <w:szCs w:val="32"/>
        </w:rPr>
        <w:t>宣</w:t>
      </w:r>
      <w:r>
        <w:rPr>
          <w:rFonts w:hint="eastAsia" w:ascii="仿宋_GB2312" w:hAnsi="宋体" w:eastAsia="仿宋_GB2312"/>
          <w:b/>
          <w:bCs/>
          <w:sz w:val="32"/>
          <w:szCs w:val="32"/>
          <w:lang w:eastAsia="zh-CN"/>
        </w:rPr>
        <w:t>传普法</w:t>
      </w:r>
      <w:r>
        <w:rPr>
          <w:rFonts w:hint="eastAsia" w:ascii="仿宋_GB2312" w:hAnsi="宋体" w:eastAsia="仿宋_GB2312"/>
          <w:sz w:val="32"/>
          <w:szCs w:val="32"/>
        </w:rPr>
        <w:t>，</w:t>
      </w:r>
      <w:r>
        <w:rPr>
          <w:rFonts w:hint="eastAsia" w:ascii="仿宋_GB2312" w:hAnsi="宋体" w:eastAsia="仿宋_GB2312"/>
          <w:sz w:val="32"/>
          <w:szCs w:val="32"/>
          <w:lang w:eastAsia="zh-CN"/>
        </w:rPr>
        <w:t>始终坚持法治政府立场，</w:t>
      </w:r>
      <w:r>
        <w:rPr>
          <w:rFonts w:hint="eastAsia" w:ascii="仿宋_GB2312" w:hAnsi="宋体" w:eastAsia="仿宋_GB2312"/>
          <w:sz w:val="32"/>
          <w:szCs w:val="32"/>
        </w:rPr>
        <w:t>在接受媒体采访、调研走访企业</w:t>
      </w:r>
      <w:r>
        <w:rPr>
          <w:rFonts w:hint="eastAsia" w:ascii="仿宋_GB2312" w:hAnsi="宋体" w:eastAsia="仿宋_GB2312"/>
          <w:sz w:val="32"/>
          <w:szCs w:val="32"/>
          <w:lang w:eastAsia="zh-CN"/>
        </w:rPr>
        <w:t>、日常开展工作中</w:t>
      </w:r>
      <w:r>
        <w:rPr>
          <w:rFonts w:hint="eastAsia" w:ascii="仿宋_GB2312" w:hAnsi="宋体" w:eastAsia="仿宋_GB2312"/>
          <w:sz w:val="32"/>
          <w:szCs w:val="32"/>
        </w:rPr>
        <w:t>，主动对关系到企业发展的政策措施、相关信息进行及时发布和</w:t>
      </w:r>
      <w:r>
        <w:rPr>
          <w:rFonts w:hint="eastAsia" w:ascii="仿宋_GB2312" w:hAnsi="宋体" w:eastAsia="仿宋_GB2312"/>
          <w:sz w:val="32"/>
          <w:szCs w:val="32"/>
          <w:lang w:eastAsia="zh-CN"/>
        </w:rPr>
        <w:t>深入</w:t>
      </w:r>
      <w:r>
        <w:rPr>
          <w:rFonts w:hint="eastAsia" w:ascii="仿宋_GB2312" w:hAnsi="宋体" w:eastAsia="仿宋_GB2312"/>
          <w:sz w:val="32"/>
          <w:szCs w:val="32"/>
        </w:rPr>
        <w:t>解读。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auto"/>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（二）专题活动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sz w:val="32"/>
          <w:szCs w:val="32"/>
        </w:rPr>
      </w:pPr>
      <w:r>
        <w:rPr>
          <w:rFonts w:hint="eastAsia" w:ascii="仿宋_GB2312" w:hAnsi="宋体" w:eastAsia="仿宋_GB2312"/>
          <w:sz w:val="32"/>
          <w:szCs w:val="32"/>
          <w:lang w:val="en-US" w:eastAsia="zh-CN"/>
        </w:rPr>
        <w:t>通过召开中心组（扩大）学习会，局党组书记开展专题述法，</w:t>
      </w:r>
      <w:r>
        <w:rPr>
          <w:rFonts w:hint="eastAsia" w:ascii="仿宋_GB2312" w:hAnsi="宋体" w:eastAsia="仿宋_GB2312"/>
          <w:b w:val="0"/>
          <w:bCs w:val="0"/>
          <w:sz w:val="32"/>
          <w:szCs w:val="32"/>
          <w:lang w:val="en-US" w:eastAsia="zh-CN"/>
        </w:rPr>
        <w:t>围绕</w:t>
      </w:r>
      <w:r>
        <w:rPr>
          <w:rFonts w:hint="eastAsia" w:ascii="仿宋_GB2312" w:hAnsi="宋体" w:eastAsia="仿宋_GB2312"/>
          <w:sz w:val="32"/>
          <w:szCs w:val="32"/>
          <w:lang w:val="en-US" w:eastAsia="zh-CN"/>
        </w:rPr>
        <w:t>习近平法治思想的学习贯彻，要求局系统领导干部</w:t>
      </w:r>
      <w:r>
        <w:rPr>
          <w:rFonts w:hint="eastAsia" w:ascii="仿宋_GB2312" w:hAnsi="宋体" w:eastAsia="仿宋_GB2312"/>
          <w:sz w:val="32"/>
          <w:szCs w:val="32"/>
          <w:lang w:eastAsia="zh-CN"/>
        </w:rPr>
        <w:t>以习近平法治思想为根本遵循，深刻认识完善中国特色社会主义法治体系的战略意义，不断提高运用法治思维和法治方式推动工作的能力，持续打造保税区域法治化营商环境。</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特色亮点工作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（一）广泛征集立法建议，发挥好基层立法联系点“直通车”作用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一是参与立法过程。</w:t>
      </w:r>
      <w:r>
        <w:rPr>
          <w:rFonts w:hint="eastAsia" w:ascii="仿宋_GB2312" w:hAnsi="仿宋_GB2312" w:eastAsia="仿宋_GB2312" w:cs="仿宋_GB2312"/>
          <w:sz w:val="32"/>
          <w:szCs w:val="32"/>
          <w:lang w:eastAsia="zh-CN"/>
        </w:rPr>
        <w:t>保税区片区基层立法联系点为区域企业表达立法需求、深度参与立法过程提供平台支撑，就《上海市推进国际贸易中心建设条例》《上海市促进浦东新区保税维修业务发展若干规定》《浦东新区国际航行船舶药品和医疗器械供应保障若干规定》等20余部法律性文件草案开展了意见征集，多次走访调研、召开座谈会，完成问卷2000余份，整理递交相关部门意见建议30余条，提交的多条建议被市区人大吸收采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二是科学研提法治观察建议。</w:t>
      </w:r>
      <w:r>
        <w:rPr>
          <w:rFonts w:hint="eastAsia" w:ascii="仿宋_GB2312" w:hAnsi="仿宋_GB2312" w:eastAsia="仿宋_GB2312" w:cs="仿宋_GB2312"/>
          <w:sz w:val="32"/>
          <w:szCs w:val="32"/>
          <w:lang w:eastAsia="zh-CN"/>
        </w:rPr>
        <w:t>积极发挥法治观察“哨兵”功能，报送《关于正确适用轻微违法行为不予行政处罚的建议》《关于进一步规范行政复议中撤回复议申请运行机制的建议》等各类主题的法治观察建议书，从执法一线视角反应基层意见和情况，体现立法联系点在全过程人民民主实践中的示范引领作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（二）积极推进行政管理方式改革创新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一是构建说理式执法新模式。</w:t>
      </w:r>
      <w:r>
        <w:rPr>
          <w:rFonts w:hint="eastAsia" w:ascii="仿宋_GB2312" w:hAnsi="仿宋_GB2312" w:eastAsia="仿宋_GB2312" w:cs="仿宋_GB2312"/>
          <w:sz w:val="32"/>
          <w:szCs w:val="32"/>
          <w:lang w:eastAsia="zh-CN"/>
        </w:rPr>
        <w:t>在本市建设系统中属首创说理式《行政处罚决定书》，逐步构建“预防为主，说理执法，事后跟踪”的建设工程说理式执法新模式，强化建设工程执法质量，源头化解行政争议，实现执法质效和社会效果的双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二是推行数字化管理新方法。</w:t>
      </w:r>
      <w:r>
        <w:rPr>
          <w:rFonts w:hint="eastAsia" w:ascii="仿宋_GB2312" w:hAnsi="仿宋_GB2312" w:eastAsia="仿宋_GB2312" w:cs="仿宋_GB2312"/>
          <w:sz w:val="32"/>
          <w:szCs w:val="32"/>
          <w:lang w:eastAsia="zh-CN"/>
        </w:rPr>
        <w:t>依托“电子评标系统+视频会议”双系统，实现保税区域首个远程分散评标项目施工评标，有效保障项目评审的独立性和公正性，进一步提升行政管理效能、优化区域营商环境。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宋体"/>
          <w:sz w:val="32"/>
          <w:szCs w:val="32"/>
          <w:lang w:val="en-US" w:eastAsia="zh-CN"/>
        </w:rPr>
      </w:pPr>
      <w:r>
        <w:rPr>
          <w:rFonts w:hint="eastAsia" w:ascii="仿宋_GB2312" w:hAnsi="仿宋_GB2312" w:eastAsia="仿宋_GB2312" w:cs="仿宋_GB2312"/>
          <w:sz w:val="32"/>
          <w:szCs w:val="32"/>
          <w:lang w:eastAsia="zh-CN"/>
        </w:rPr>
        <w:t>工作推进中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保税区管理局党组</w:t>
      </w:r>
      <w:r>
        <w:rPr>
          <w:rFonts w:hint="eastAsia" w:ascii="仿宋_GB2312" w:hAnsi="仿宋_GB2312" w:eastAsia="仿宋_GB2312" w:cs="仿宋_GB2312"/>
          <w:sz w:val="32"/>
          <w:szCs w:val="32"/>
        </w:rPr>
        <w:t>将坚持对照最高标准、查找短板弱项，进一步深化改革的系统集成，扎实推进法治建设各项举措，努力在建设最高标准、最好水平的自由贸易园区方面继续走在前列，持续完善</w:t>
      </w:r>
      <w:r>
        <w:rPr>
          <w:rFonts w:hint="eastAsia" w:ascii="仿宋_GB2312" w:hAnsi="仿宋_GB2312" w:eastAsia="仿宋_GB2312" w:cs="仿宋_GB2312"/>
          <w:sz w:val="32"/>
          <w:szCs w:val="32"/>
          <w:lang w:eastAsia="zh-CN"/>
        </w:rPr>
        <w:t>市场化、法治化、国际化</w:t>
      </w:r>
      <w:r>
        <w:rPr>
          <w:rFonts w:hint="eastAsia" w:ascii="仿宋_GB2312" w:hAnsi="仿宋_GB2312" w:eastAsia="仿宋_GB2312" w:cs="仿宋_GB2312"/>
          <w:sz w:val="32"/>
          <w:szCs w:val="32"/>
        </w:rPr>
        <w:t>的营商环境，为把自贸试验区建设成为新时代改革开放新高地，推动保税区域高水平开放、高质量发展作出新的贡献。</w:t>
      </w:r>
      <w:r>
        <w:rPr>
          <w:rFonts w:hint="eastAsia" w:ascii="仿宋_GB2312" w:hAnsi="仿宋_GB2312" w:eastAsia="仿宋_GB2312" w:cs="仿宋_GB2312"/>
          <w:sz w:val="32"/>
          <w:szCs w:val="32"/>
          <w:lang w:val="en-US" w:eastAsia="zh-CN"/>
        </w:rPr>
        <w:t xml:space="preserve">                                                                          </w:t>
      </w:r>
      <w:r>
        <w:rPr>
          <w:rFonts w:hint="eastAsia"/>
          <w:sz w:val="32"/>
          <w:szCs w:val="32"/>
          <w:lang w:val="en-US" w:eastAsia="zh-CN"/>
        </w:rPr>
        <w:t xml:space="preserve">                                                                                                                                                                                                                                                                                                                                                                                                                                                                                                                                                                                                                                                                                                                                                                                                                                                                                                                                                                                                                                                                                                                                                                                                                                                                                                                                                                                                                                                                                                                                                                                                                                                                                                                                                                                                                                                                                                                                                                                                                                                                                                                                                                                                                                                                                                                                                                                                                                                                                                                                                                                                                                                                                                                                                                                                                                                                                              </w:t>
      </w:r>
    </w:p>
    <w:sectPr>
      <w:footerReference r:id="rId3" w:type="default"/>
      <w:pgSz w:w="11906" w:h="16838"/>
      <w:pgMar w:top="1440" w:right="1800" w:bottom="1440" w:left="1800" w:header="851" w:footer="709"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28659"/>
      <w:docPartObj>
        <w:docPartGallery w:val="autotext"/>
      </w:docPartObj>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21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MjBhYTEzZjUyMTliMjExZDVlMDk4NGJlMWQzZmQifQ=="/>
  </w:docVars>
  <w:rsids>
    <w:rsidRoot w:val="0062757B"/>
    <w:rsid w:val="00010883"/>
    <w:rsid w:val="000220E5"/>
    <w:rsid w:val="00030E97"/>
    <w:rsid w:val="00052649"/>
    <w:rsid w:val="00091FDA"/>
    <w:rsid w:val="000A43DE"/>
    <w:rsid w:val="000A526D"/>
    <w:rsid w:val="000B5EDA"/>
    <w:rsid w:val="000C0A22"/>
    <w:rsid w:val="000C22DD"/>
    <w:rsid w:val="000D1789"/>
    <w:rsid w:val="000E574C"/>
    <w:rsid w:val="00141227"/>
    <w:rsid w:val="00161A88"/>
    <w:rsid w:val="001654CA"/>
    <w:rsid w:val="001A1F0C"/>
    <w:rsid w:val="001A3327"/>
    <w:rsid w:val="001B73BC"/>
    <w:rsid w:val="001E2260"/>
    <w:rsid w:val="00215845"/>
    <w:rsid w:val="00231BDF"/>
    <w:rsid w:val="002324B5"/>
    <w:rsid w:val="00232C8A"/>
    <w:rsid w:val="0023605E"/>
    <w:rsid w:val="00244157"/>
    <w:rsid w:val="0026317E"/>
    <w:rsid w:val="0027281B"/>
    <w:rsid w:val="0027666C"/>
    <w:rsid w:val="00292D06"/>
    <w:rsid w:val="002A240E"/>
    <w:rsid w:val="002B1EFE"/>
    <w:rsid w:val="002B5F8A"/>
    <w:rsid w:val="002D20E3"/>
    <w:rsid w:val="002F3DD7"/>
    <w:rsid w:val="003038D9"/>
    <w:rsid w:val="003054EE"/>
    <w:rsid w:val="0032045D"/>
    <w:rsid w:val="0033645B"/>
    <w:rsid w:val="00364008"/>
    <w:rsid w:val="00375C64"/>
    <w:rsid w:val="00376FBF"/>
    <w:rsid w:val="0039395A"/>
    <w:rsid w:val="003B3B99"/>
    <w:rsid w:val="003C0BBB"/>
    <w:rsid w:val="003D1E26"/>
    <w:rsid w:val="003F1003"/>
    <w:rsid w:val="003F18EC"/>
    <w:rsid w:val="003F39EA"/>
    <w:rsid w:val="00417A06"/>
    <w:rsid w:val="0043579F"/>
    <w:rsid w:val="00443929"/>
    <w:rsid w:val="004507E3"/>
    <w:rsid w:val="00466445"/>
    <w:rsid w:val="00473F4A"/>
    <w:rsid w:val="00476300"/>
    <w:rsid w:val="00496114"/>
    <w:rsid w:val="004E378E"/>
    <w:rsid w:val="004E74D2"/>
    <w:rsid w:val="0050195D"/>
    <w:rsid w:val="005109FA"/>
    <w:rsid w:val="00512DA1"/>
    <w:rsid w:val="005279F4"/>
    <w:rsid w:val="00545FAB"/>
    <w:rsid w:val="0055347F"/>
    <w:rsid w:val="00557512"/>
    <w:rsid w:val="00571BD2"/>
    <w:rsid w:val="005864C2"/>
    <w:rsid w:val="00586B5D"/>
    <w:rsid w:val="005B29F0"/>
    <w:rsid w:val="005E136D"/>
    <w:rsid w:val="005E4034"/>
    <w:rsid w:val="005F02BA"/>
    <w:rsid w:val="005F0863"/>
    <w:rsid w:val="005F2B45"/>
    <w:rsid w:val="00605B09"/>
    <w:rsid w:val="00611D15"/>
    <w:rsid w:val="006263C7"/>
    <w:rsid w:val="0062757B"/>
    <w:rsid w:val="00674546"/>
    <w:rsid w:val="0067561D"/>
    <w:rsid w:val="00676938"/>
    <w:rsid w:val="00696458"/>
    <w:rsid w:val="006A3C32"/>
    <w:rsid w:val="006A5F2D"/>
    <w:rsid w:val="006B475D"/>
    <w:rsid w:val="006F0182"/>
    <w:rsid w:val="006F14CB"/>
    <w:rsid w:val="006F3DA4"/>
    <w:rsid w:val="006F605B"/>
    <w:rsid w:val="00710507"/>
    <w:rsid w:val="00720EFB"/>
    <w:rsid w:val="00736C49"/>
    <w:rsid w:val="0074168D"/>
    <w:rsid w:val="007603EC"/>
    <w:rsid w:val="00796469"/>
    <w:rsid w:val="007A308C"/>
    <w:rsid w:val="007B2AB0"/>
    <w:rsid w:val="007B7C71"/>
    <w:rsid w:val="007C1AA9"/>
    <w:rsid w:val="007C3C90"/>
    <w:rsid w:val="007C5F10"/>
    <w:rsid w:val="007E342A"/>
    <w:rsid w:val="00806641"/>
    <w:rsid w:val="00817603"/>
    <w:rsid w:val="008521F2"/>
    <w:rsid w:val="00860FFC"/>
    <w:rsid w:val="0086132B"/>
    <w:rsid w:val="00864AE2"/>
    <w:rsid w:val="008767F2"/>
    <w:rsid w:val="00892048"/>
    <w:rsid w:val="008A39D1"/>
    <w:rsid w:val="008B1377"/>
    <w:rsid w:val="008B4D12"/>
    <w:rsid w:val="008B5888"/>
    <w:rsid w:val="008D1D6F"/>
    <w:rsid w:val="008D515A"/>
    <w:rsid w:val="008F7380"/>
    <w:rsid w:val="0091230B"/>
    <w:rsid w:val="00964BC6"/>
    <w:rsid w:val="00970AAF"/>
    <w:rsid w:val="009830F5"/>
    <w:rsid w:val="00983C16"/>
    <w:rsid w:val="009854A0"/>
    <w:rsid w:val="00997681"/>
    <w:rsid w:val="009A0B25"/>
    <w:rsid w:val="009A3E6E"/>
    <w:rsid w:val="009B1795"/>
    <w:rsid w:val="009C09E8"/>
    <w:rsid w:val="009E0DE3"/>
    <w:rsid w:val="009E710B"/>
    <w:rsid w:val="009F4B7E"/>
    <w:rsid w:val="009F5E92"/>
    <w:rsid w:val="00A0051E"/>
    <w:rsid w:val="00A013B5"/>
    <w:rsid w:val="00A07726"/>
    <w:rsid w:val="00A23E69"/>
    <w:rsid w:val="00A61BD1"/>
    <w:rsid w:val="00A64C76"/>
    <w:rsid w:val="00A77577"/>
    <w:rsid w:val="00AA3BA0"/>
    <w:rsid w:val="00AD1714"/>
    <w:rsid w:val="00AE16AE"/>
    <w:rsid w:val="00B002D5"/>
    <w:rsid w:val="00B13D26"/>
    <w:rsid w:val="00B144B7"/>
    <w:rsid w:val="00B33F02"/>
    <w:rsid w:val="00B706B9"/>
    <w:rsid w:val="00B83C9B"/>
    <w:rsid w:val="00B8661F"/>
    <w:rsid w:val="00B97DB2"/>
    <w:rsid w:val="00BC1BEC"/>
    <w:rsid w:val="00BC3865"/>
    <w:rsid w:val="00BC59A2"/>
    <w:rsid w:val="00BF4779"/>
    <w:rsid w:val="00C0321B"/>
    <w:rsid w:val="00C0793A"/>
    <w:rsid w:val="00C13C9E"/>
    <w:rsid w:val="00C363BA"/>
    <w:rsid w:val="00C419BA"/>
    <w:rsid w:val="00C53B9A"/>
    <w:rsid w:val="00C65D99"/>
    <w:rsid w:val="00C91AF9"/>
    <w:rsid w:val="00CA2010"/>
    <w:rsid w:val="00CC3988"/>
    <w:rsid w:val="00CC4E1A"/>
    <w:rsid w:val="00CE0759"/>
    <w:rsid w:val="00CF27F1"/>
    <w:rsid w:val="00D003E8"/>
    <w:rsid w:val="00D03FC2"/>
    <w:rsid w:val="00D04661"/>
    <w:rsid w:val="00D10A9C"/>
    <w:rsid w:val="00D22BC0"/>
    <w:rsid w:val="00D23EB2"/>
    <w:rsid w:val="00D426E0"/>
    <w:rsid w:val="00D439A5"/>
    <w:rsid w:val="00D76AD8"/>
    <w:rsid w:val="00D95499"/>
    <w:rsid w:val="00DA05FD"/>
    <w:rsid w:val="00DB749A"/>
    <w:rsid w:val="00DE5962"/>
    <w:rsid w:val="00DF08C3"/>
    <w:rsid w:val="00E046AD"/>
    <w:rsid w:val="00E36D20"/>
    <w:rsid w:val="00E757DB"/>
    <w:rsid w:val="00E84FEC"/>
    <w:rsid w:val="00E9404B"/>
    <w:rsid w:val="00EA1472"/>
    <w:rsid w:val="00F03843"/>
    <w:rsid w:val="00F213E7"/>
    <w:rsid w:val="00F424E9"/>
    <w:rsid w:val="00F9799F"/>
    <w:rsid w:val="00FC10FE"/>
    <w:rsid w:val="00FC25BF"/>
    <w:rsid w:val="00FD5047"/>
    <w:rsid w:val="00FF4A7D"/>
    <w:rsid w:val="029A7D90"/>
    <w:rsid w:val="03912F41"/>
    <w:rsid w:val="04152D65"/>
    <w:rsid w:val="09784D36"/>
    <w:rsid w:val="09922399"/>
    <w:rsid w:val="0AE778EA"/>
    <w:rsid w:val="0B497D70"/>
    <w:rsid w:val="0D536036"/>
    <w:rsid w:val="0EBFD561"/>
    <w:rsid w:val="122B464C"/>
    <w:rsid w:val="12750847"/>
    <w:rsid w:val="12C95C9F"/>
    <w:rsid w:val="13301749"/>
    <w:rsid w:val="16037773"/>
    <w:rsid w:val="17FFAF9A"/>
    <w:rsid w:val="1A82172D"/>
    <w:rsid w:val="1B8847D2"/>
    <w:rsid w:val="1C104016"/>
    <w:rsid w:val="1E9A6CF6"/>
    <w:rsid w:val="22D327D6"/>
    <w:rsid w:val="24447738"/>
    <w:rsid w:val="269C19B9"/>
    <w:rsid w:val="26C863CA"/>
    <w:rsid w:val="28D75889"/>
    <w:rsid w:val="295B47CE"/>
    <w:rsid w:val="29774A3D"/>
    <w:rsid w:val="2AE15CE9"/>
    <w:rsid w:val="2B2560D2"/>
    <w:rsid w:val="2FB63264"/>
    <w:rsid w:val="31350B00"/>
    <w:rsid w:val="37F645AA"/>
    <w:rsid w:val="38A63E9B"/>
    <w:rsid w:val="390E5AFD"/>
    <w:rsid w:val="396B1563"/>
    <w:rsid w:val="39D72460"/>
    <w:rsid w:val="39F7B073"/>
    <w:rsid w:val="3B3E086D"/>
    <w:rsid w:val="3BAB28F3"/>
    <w:rsid w:val="3E3F98DB"/>
    <w:rsid w:val="3F23643C"/>
    <w:rsid w:val="3F9F770E"/>
    <w:rsid w:val="3FFFFE18"/>
    <w:rsid w:val="419F0790"/>
    <w:rsid w:val="41F540C0"/>
    <w:rsid w:val="43BE4985"/>
    <w:rsid w:val="44845850"/>
    <w:rsid w:val="47FF61B6"/>
    <w:rsid w:val="49B5973D"/>
    <w:rsid w:val="4A5B1180"/>
    <w:rsid w:val="4B11322E"/>
    <w:rsid w:val="4B687345"/>
    <w:rsid w:val="4BCF4BC1"/>
    <w:rsid w:val="4F027E1C"/>
    <w:rsid w:val="4F7F82F1"/>
    <w:rsid w:val="50F7C49F"/>
    <w:rsid w:val="521117A7"/>
    <w:rsid w:val="52FD07C3"/>
    <w:rsid w:val="535B773B"/>
    <w:rsid w:val="53A83885"/>
    <w:rsid w:val="546B4FB5"/>
    <w:rsid w:val="54A85ECB"/>
    <w:rsid w:val="57B75FB9"/>
    <w:rsid w:val="5B900F25"/>
    <w:rsid w:val="5BD94392"/>
    <w:rsid w:val="5BFB7E46"/>
    <w:rsid w:val="5C0A6562"/>
    <w:rsid w:val="5EFA7CCD"/>
    <w:rsid w:val="5FFEE5E5"/>
    <w:rsid w:val="62274422"/>
    <w:rsid w:val="64205E6D"/>
    <w:rsid w:val="67713671"/>
    <w:rsid w:val="67814AAD"/>
    <w:rsid w:val="6835000C"/>
    <w:rsid w:val="692F54EF"/>
    <w:rsid w:val="69967687"/>
    <w:rsid w:val="6AD4392D"/>
    <w:rsid w:val="6B5D66AE"/>
    <w:rsid w:val="6DBFD81E"/>
    <w:rsid w:val="70BE0645"/>
    <w:rsid w:val="71F05649"/>
    <w:rsid w:val="72510775"/>
    <w:rsid w:val="737870DD"/>
    <w:rsid w:val="73E071AD"/>
    <w:rsid w:val="75E84169"/>
    <w:rsid w:val="767D764C"/>
    <w:rsid w:val="772FB788"/>
    <w:rsid w:val="77560455"/>
    <w:rsid w:val="77E5ED12"/>
    <w:rsid w:val="77EC43F0"/>
    <w:rsid w:val="77F7DBDA"/>
    <w:rsid w:val="78112CFA"/>
    <w:rsid w:val="78E736CC"/>
    <w:rsid w:val="7A772BBC"/>
    <w:rsid w:val="7BCB1F85"/>
    <w:rsid w:val="7BDEAD4D"/>
    <w:rsid w:val="7BFF7A14"/>
    <w:rsid w:val="7C6F4493"/>
    <w:rsid w:val="7C9FE830"/>
    <w:rsid w:val="7DBFFA80"/>
    <w:rsid w:val="7DD71F2C"/>
    <w:rsid w:val="7DEFD775"/>
    <w:rsid w:val="7E1443D7"/>
    <w:rsid w:val="7E73BE15"/>
    <w:rsid w:val="7E77F018"/>
    <w:rsid w:val="7EC74461"/>
    <w:rsid w:val="7EDA9698"/>
    <w:rsid w:val="7F7D58EC"/>
    <w:rsid w:val="7F8C7EA4"/>
    <w:rsid w:val="7FFAF587"/>
    <w:rsid w:val="93F540A2"/>
    <w:rsid w:val="9D4B5CFF"/>
    <w:rsid w:val="AFBD13DA"/>
    <w:rsid w:val="B8F13CC9"/>
    <w:rsid w:val="BA7B23C6"/>
    <w:rsid w:val="BFFEB9F5"/>
    <w:rsid w:val="D5C6667C"/>
    <w:rsid w:val="DBFBED30"/>
    <w:rsid w:val="DFE52F22"/>
    <w:rsid w:val="E7BFBAC5"/>
    <w:rsid w:val="EBE9C933"/>
    <w:rsid w:val="EFA6D0E5"/>
    <w:rsid w:val="F3F38935"/>
    <w:rsid w:val="F4DF7D1D"/>
    <w:rsid w:val="F5EC28F0"/>
    <w:rsid w:val="F77FE222"/>
    <w:rsid w:val="F7D7A25A"/>
    <w:rsid w:val="F9F533FA"/>
    <w:rsid w:val="FBDFAE2A"/>
    <w:rsid w:val="FE734873"/>
    <w:rsid w:val="FED7C432"/>
    <w:rsid w:val="FEDD2C51"/>
    <w:rsid w:val="FF695C57"/>
    <w:rsid w:val="FFFD2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15"/>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toc 3"/>
    <w:basedOn w:val="1"/>
    <w:next w:val="1"/>
    <w:unhideWhenUsed/>
    <w:qFormat/>
    <w:uiPriority w:val="39"/>
    <w:pPr>
      <w:widowControl w:val="0"/>
      <w:spacing w:line="600" w:lineRule="exact"/>
      <w:ind w:firstLine="640" w:firstLineChars="200"/>
      <w:jc w:val="left"/>
    </w:pPr>
    <w:rPr>
      <w:rFonts w:ascii="楷体_GB2312" w:hAnsi="楷体" w:eastAsia="楷体_GB2312" w:cs="仿宋"/>
      <w:kern w:val="2"/>
      <w:sz w:val="32"/>
      <w:szCs w:val="32"/>
      <w:lang w:val="en-US" w:eastAsia="zh-CN" w:bidi="ar-SA"/>
    </w:rPr>
  </w:style>
  <w:style w:type="paragraph" w:styleId="6">
    <w:name w:val="Balloon Text"/>
    <w:basedOn w:val="1"/>
    <w:link w:val="16"/>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after="100"/>
    </w:pPr>
    <w:rPr>
      <w:rFonts w:ascii="宋体" w:hAnsi="宋体" w:eastAsia="宋体" w:cs="宋体"/>
      <w:color w:val="000000"/>
      <w:sz w:val="24"/>
      <w:szCs w:val="24"/>
      <w:lang w:val="en-US" w:eastAsia="zh-CN" w:bidi="ar-SA"/>
    </w:rPr>
  </w:style>
  <w:style w:type="character" w:styleId="12">
    <w:name w:val="Emphasis"/>
    <w:qFormat/>
    <w:uiPriority w:val="20"/>
    <w:rPr>
      <w:i/>
      <w:iCs/>
    </w:rPr>
  </w:style>
  <w:style w:type="character" w:styleId="13">
    <w:name w:val="Hyperlink"/>
    <w:unhideWhenUsed/>
    <w:qFormat/>
    <w:uiPriority w:val="99"/>
    <w:rPr>
      <w:color w:val="0000FF"/>
      <w:u w:val="single"/>
    </w:rPr>
  </w:style>
  <w:style w:type="character" w:customStyle="1" w:styleId="14">
    <w:name w:val="标题 1 Char"/>
    <w:link w:val="3"/>
    <w:qFormat/>
    <w:uiPriority w:val="9"/>
    <w:rPr>
      <w:b/>
      <w:bCs/>
      <w:kern w:val="44"/>
      <w:sz w:val="44"/>
      <w:szCs w:val="44"/>
    </w:rPr>
  </w:style>
  <w:style w:type="character" w:customStyle="1" w:styleId="15">
    <w:name w:val="标题 3 Char"/>
    <w:link w:val="4"/>
    <w:qFormat/>
    <w:uiPriority w:val="9"/>
    <w:rPr>
      <w:rFonts w:ascii="宋体" w:hAnsi="宋体" w:eastAsia="宋体" w:cs="宋体"/>
      <w:b/>
      <w:bCs/>
      <w:sz w:val="27"/>
      <w:szCs w:val="27"/>
    </w:rPr>
  </w:style>
  <w:style w:type="character" w:customStyle="1" w:styleId="16">
    <w:name w:val="批注框文本 Char"/>
    <w:link w:val="6"/>
    <w:semiHidden/>
    <w:qFormat/>
    <w:uiPriority w:val="99"/>
    <w:rPr>
      <w:sz w:val="18"/>
      <w:szCs w:val="18"/>
    </w:rPr>
  </w:style>
  <w:style w:type="character" w:customStyle="1" w:styleId="17">
    <w:name w:val="页脚 Char"/>
    <w:link w:val="7"/>
    <w:qFormat/>
    <w:uiPriority w:val="99"/>
    <w:rPr>
      <w:sz w:val="18"/>
      <w:szCs w:val="18"/>
    </w:rPr>
  </w:style>
  <w:style w:type="character" w:customStyle="1" w:styleId="18">
    <w:name w:val="页眉 Char"/>
    <w:link w:val="8"/>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article__title_text"/>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3763</Words>
  <Characters>3807</Characters>
  <Lines>37</Lines>
  <Paragraphs>10</Paragraphs>
  <TotalTime>9</TotalTime>
  <ScaleCrop>false</ScaleCrop>
  <LinksUpToDate>false</LinksUpToDate>
  <CharactersWithSpaces>3808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2023-10-18T14:35:00Z</dcterms:created>
  <dc:creator>周青波</dc:creator>
  <cp:lastModifiedBy>donghai</cp:lastModifiedBy>
  <cp:lastPrinted>2025-03-14T23:39:00Z</cp:lastPrinted>
  <dcterms:modified xsi:type="dcterms:W3CDTF">2025-03-14T15:43:13Z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CD13813D397E4E89B48754A9A55A52B5_13</vt:lpwstr>
  </property>
</Properties>
</file>