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62" w:rsidRDefault="004926C9">
      <w:pPr>
        <w:jc w:val="center"/>
        <w:rPr>
          <w:rFonts w:ascii="华文中宋" w:eastAsia="华文中宋" w:hAnsi="华文中宋"/>
          <w:b/>
          <w:bCs/>
          <w:sz w:val="28"/>
          <w:szCs w:val="28"/>
        </w:rPr>
      </w:pPr>
      <w:r>
        <w:rPr>
          <w:rFonts w:ascii="华文中宋" w:eastAsia="华文中宋" w:hAnsi="华文中宋" w:hint="eastAsia"/>
          <w:b/>
          <w:bCs/>
          <w:sz w:val="28"/>
          <w:szCs w:val="28"/>
        </w:rPr>
        <w:t>中国（上海）自由贸易试验区管理委员会保税区管理局</w:t>
      </w:r>
    </w:p>
    <w:p w:rsidR="00CA6A62" w:rsidRDefault="004926C9">
      <w:pPr>
        <w:jc w:val="center"/>
        <w:rPr>
          <w:rFonts w:ascii="华文中宋" w:eastAsia="华文中宋" w:hAnsi="华文中宋"/>
          <w:b/>
          <w:bCs/>
          <w:sz w:val="36"/>
          <w:szCs w:val="36"/>
        </w:rPr>
      </w:pPr>
      <w:r>
        <w:rPr>
          <w:rFonts w:ascii="华文中宋" w:eastAsia="华文中宋" w:hAnsi="华文中宋" w:hint="eastAsia"/>
          <w:b/>
          <w:bCs/>
          <w:sz w:val="36"/>
          <w:szCs w:val="36"/>
        </w:rPr>
        <w:t>2022年度法治政府建设情况报告</w:t>
      </w:r>
    </w:p>
    <w:p w:rsidR="00CA6A62" w:rsidRDefault="00CA6A62">
      <w:pPr>
        <w:autoSpaceDE w:val="0"/>
        <w:autoSpaceDN w:val="0"/>
        <w:adjustRightInd w:val="0"/>
        <w:spacing w:line="360" w:lineRule="auto"/>
        <w:ind w:firstLineChars="200" w:firstLine="640"/>
        <w:rPr>
          <w:rFonts w:ascii="仿宋_GB2312" w:eastAsia="仿宋_GB2312" w:hAnsi="楷体"/>
          <w:sz w:val="32"/>
          <w:szCs w:val="32"/>
        </w:rPr>
      </w:pPr>
    </w:p>
    <w:p w:rsidR="00CA6A62" w:rsidRDefault="004926C9">
      <w:pPr>
        <w:autoSpaceDE w:val="0"/>
        <w:autoSpaceDN w:val="0"/>
        <w:adjustRightInd w:val="0"/>
        <w:spacing w:line="360" w:lineRule="auto"/>
        <w:ind w:firstLineChars="200" w:firstLine="640"/>
        <w:rPr>
          <w:rFonts w:ascii="仿宋_GB2312" w:eastAsia="仿宋_GB2312" w:hAnsi="宋体"/>
          <w:sz w:val="32"/>
          <w:szCs w:val="32"/>
        </w:rPr>
      </w:pPr>
      <w:bookmarkStart w:id="0" w:name="_GoBack"/>
      <w:bookmarkEnd w:id="0"/>
      <w:r>
        <w:rPr>
          <w:rFonts w:ascii="仿宋_GB2312" w:eastAsia="仿宋_GB2312" w:hAnsi="楷体" w:hint="eastAsia"/>
          <w:sz w:val="32"/>
          <w:szCs w:val="32"/>
        </w:rPr>
        <w:t>2022年，</w:t>
      </w:r>
      <w:r>
        <w:rPr>
          <w:rFonts w:ascii="仿宋_GB2312" w:eastAsia="仿宋_GB2312" w:hAnsi="黑体" w:hint="eastAsia"/>
          <w:sz w:val="32"/>
          <w:szCs w:val="32"/>
        </w:rPr>
        <w:t>保税区管理局党组</w:t>
      </w:r>
      <w:r>
        <w:rPr>
          <w:rFonts w:ascii="仿宋_GB2312" w:eastAsia="仿宋_GB2312" w:hAnsi="楷体" w:hint="eastAsia"/>
          <w:sz w:val="32"/>
          <w:szCs w:val="32"/>
        </w:rPr>
        <w:t>持续深入贯彻</w:t>
      </w:r>
      <w:r>
        <w:rPr>
          <w:rFonts w:ascii="仿宋_GB2312" w:eastAsia="仿宋_GB2312" w:hAnsi="黑体" w:hint="eastAsia"/>
          <w:sz w:val="32"/>
          <w:szCs w:val="32"/>
        </w:rPr>
        <w:t>习近平法治思想，积极学习落实党的二十大精神，聚焦落实浦东引领区的各项改革任务，全面落实法治建设责任制，不断</w:t>
      </w:r>
      <w:r>
        <w:rPr>
          <w:rFonts w:eastAsia="仿宋_GB2312"/>
          <w:kern w:val="32"/>
          <w:sz w:val="32"/>
        </w:rPr>
        <w:t>加强法治建设</w:t>
      </w:r>
      <w:r>
        <w:rPr>
          <w:rFonts w:eastAsia="仿宋_GB2312" w:hint="eastAsia"/>
          <w:kern w:val="32"/>
          <w:sz w:val="32"/>
        </w:rPr>
        <w:t>、</w:t>
      </w:r>
      <w:r>
        <w:rPr>
          <w:rFonts w:eastAsia="仿宋_GB2312"/>
          <w:kern w:val="32"/>
          <w:sz w:val="32"/>
        </w:rPr>
        <w:t>优化制度供给</w:t>
      </w:r>
      <w:r>
        <w:rPr>
          <w:rFonts w:eastAsia="仿宋_GB2312" w:hint="eastAsia"/>
          <w:kern w:val="32"/>
          <w:sz w:val="32"/>
        </w:rPr>
        <w:t>、规范执法实践、</w:t>
      </w:r>
      <w:r>
        <w:rPr>
          <w:rFonts w:eastAsia="仿宋_GB2312"/>
          <w:kern w:val="32"/>
          <w:sz w:val="32"/>
        </w:rPr>
        <w:t>强化底线思维、</w:t>
      </w:r>
      <w:r>
        <w:rPr>
          <w:rFonts w:eastAsia="仿宋_GB2312" w:hint="eastAsia"/>
          <w:kern w:val="32"/>
          <w:sz w:val="32"/>
        </w:rPr>
        <w:t>增强</w:t>
      </w:r>
      <w:r>
        <w:rPr>
          <w:rFonts w:eastAsia="仿宋_GB2312"/>
          <w:kern w:val="32"/>
          <w:sz w:val="32"/>
        </w:rPr>
        <w:t>风险意识</w:t>
      </w:r>
      <w:r>
        <w:rPr>
          <w:rFonts w:eastAsia="仿宋_GB2312" w:hint="eastAsia"/>
          <w:kern w:val="32"/>
          <w:sz w:val="32"/>
        </w:rPr>
        <w:t>，</w:t>
      </w:r>
      <w:r>
        <w:rPr>
          <w:rFonts w:ascii="仿宋_GB2312" w:eastAsia="仿宋_GB2312" w:hAnsi="宋体" w:hint="eastAsia"/>
          <w:sz w:val="32"/>
          <w:szCs w:val="32"/>
        </w:rPr>
        <w:t>不断提升区域法治化、国际化、便利化的营商环境，法治政府建设取得一定成效。现将有关工作情况报告如下：</w:t>
      </w:r>
    </w:p>
    <w:p w:rsidR="00CA6A62" w:rsidRDefault="004926C9">
      <w:pPr>
        <w:spacing w:line="360" w:lineRule="auto"/>
        <w:ind w:left="643"/>
        <w:rPr>
          <w:rFonts w:ascii="黑体" w:eastAsia="黑体" w:hAnsi="黑体" w:cs="仿宋_GB2312"/>
          <w:b/>
          <w:sz w:val="32"/>
        </w:rPr>
      </w:pPr>
      <w:r>
        <w:rPr>
          <w:rFonts w:ascii="楷体_GB2312" w:eastAsia="楷体_GB2312" w:hAnsi="黑体" w:cs="仿宋_GB2312" w:hint="eastAsia"/>
          <w:b/>
          <w:sz w:val="32"/>
        </w:rPr>
        <w:t>一、强化法治意识，积极落实法治建设责任</w:t>
      </w:r>
    </w:p>
    <w:p w:rsidR="00CA6A62" w:rsidRDefault="004926C9">
      <w:pPr>
        <w:autoSpaceDE w:val="0"/>
        <w:autoSpaceDN w:val="0"/>
        <w:adjustRightIn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管理局党组和领导班子高度重视自贸试验区保税区域的法治建设工作，坚持常抓、常议、常学习，不断将法治建设融入局内改革发展的各项任务，为改革创新、全面优化营商环境提供充分的法治保障和服务。</w:t>
      </w:r>
      <w:r>
        <w:rPr>
          <w:rFonts w:ascii="仿宋_GB2312" w:eastAsia="仿宋_GB2312" w:hAnsi="宋体" w:hint="eastAsia"/>
          <w:b/>
          <w:bCs/>
          <w:sz w:val="32"/>
          <w:szCs w:val="32"/>
        </w:rPr>
        <w:t>一是</w:t>
      </w:r>
      <w:r>
        <w:rPr>
          <w:rFonts w:ascii="仿宋_GB2312" w:eastAsia="仿宋_GB2312" w:hAnsi="宋体" w:hint="eastAsia"/>
          <w:sz w:val="32"/>
          <w:szCs w:val="32"/>
        </w:rPr>
        <w:t>通过召开局党组中心组</w:t>
      </w:r>
      <w:r>
        <w:rPr>
          <w:rFonts w:eastAsia="仿宋_GB2312" w:cs="仿宋_GB2312" w:hint="eastAsia"/>
          <w:sz w:val="32"/>
        </w:rPr>
        <w:t>（扩大）学习</w:t>
      </w:r>
      <w:r>
        <w:rPr>
          <w:rFonts w:ascii="仿宋_GB2312" w:eastAsia="仿宋_GB2312" w:hAnsi="宋体" w:hint="eastAsia"/>
          <w:sz w:val="32"/>
          <w:szCs w:val="32"/>
        </w:rPr>
        <w:t>会、邀请专家专题辅导、开展学习研讨会等多种形式，深入学</w:t>
      </w:r>
      <w:r w:rsidR="00300AA1">
        <w:rPr>
          <w:rFonts w:ascii="仿宋_GB2312" w:eastAsia="仿宋_GB2312" w:hAnsi="宋体" w:hint="eastAsia"/>
          <w:sz w:val="32"/>
          <w:szCs w:val="32"/>
        </w:rPr>
        <w:t>习</w:t>
      </w:r>
      <w:r>
        <w:rPr>
          <w:rFonts w:ascii="仿宋_GB2312" w:eastAsia="仿宋_GB2312" w:hAnsi="宋体" w:hint="eastAsia"/>
          <w:sz w:val="32"/>
          <w:szCs w:val="32"/>
        </w:rPr>
        <w:t>习近平法治思想和党内法规，提升法治意识。</w:t>
      </w:r>
      <w:r>
        <w:rPr>
          <w:rFonts w:ascii="仿宋_GB2312" w:eastAsia="仿宋_GB2312" w:hAnsi="宋体" w:hint="eastAsia"/>
          <w:b/>
          <w:bCs/>
          <w:sz w:val="32"/>
          <w:szCs w:val="32"/>
        </w:rPr>
        <w:t>二是</w:t>
      </w:r>
      <w:r>
        <w:rPr>
          <w:rFonts w:ascii="仿宋_GB2312" w:eastAsia="仿宋_GB2312" w:hAnsi="宋体" w:hint="eastAsia"/>
          <w:sz w:val="32"/>
          <w:szCs w:val="32"/>
        </w:rPr>
        <w:t>将法治建设工作纳入年度工作计划，加强研究，把建设法治政府摆在工作全局的重要位置。</w:t>
      </w:r>
      <w:r>
        <w:rPr>
          <w:rFonts w:ascii="仿宋_GB2312" w:eastAsia="仿宋_GB2312" w:hAnsi="宋体" w:hint="eastAsia"/>
          <w:b/>
          <w:bCs/>
          <w:sz w:val="32"/>
          <w:szCs w:val="32"/>
        </w:rPr>
        <w:t>三是</w:t>
      </w:r>
      <w:r>
        <w:rPr>
          <w:rFonts w:ascii="仿宋_GB2312" w:eastAsia="仿宋_GB2312" w:hAnsi="宋体" w:hint="eastAsia"/>
          <w:sz w:val="32"/>
          <w:szCs w:val="32"/>
        </w:rPr>
        <w:t>始终坚持法治政府立场，广泛宣传，对关系到企业发展的政策措施、相关信息进行及时发布和认真解读。</w:t>
      </w:r>
      <w:r>
        <w:rPr>
          <w:rFonts w:ascii="仿宋_GB2312" w:eastAsia="仿宋_GB2312" w:hAnsi="宋体" w:hint="eastAsia"/>
          <w:b/>
          <w:bCs/>
          <w:sz w:val="32"/>
          <w:szCs w:val="32"/>
        </w:rPr>
        <w:t>四是</w:t>
      </w:r>
      <w:r>
        <w:rPr>
          <w:rFonts w:ascii="仿宋_GB2312" w:eastAsia="仿宋_GB2312" w:hint="eastAsia"/>
          <w:color w:val="000000"/>
          <w:sz w:val="32"/>
          <w:szCs w:val="32"/>
          <w:shd w:val="clear" w:color="auto" w:fill="FFFFFF"/>
        </w:rPr>
        <w:t>党政主要负责人严格按要求将推进法治建设第一责任人职责情况列入个人年度述职报告，</w:t>
      </w:r>
      <w:r>
        <w:rPr>
          <w:rFonts w:ascii="仿宋_GB2312" w:eastAsia="仿宋_GB2312" w:hAnsi="宋体" w:hint="eastAsia"/>
          <w:sz w:val="32"/>
          <w:szCs w:val="32"/>
        </w:rPr>
        <w:t>落实述法。</w:t>
      </w:r>
    </w:p>
    <w:p w:rsidR="00CA6A62" w:rsidRDefault="004926C9">
      <w:pPr>
        <w:pStyle w:val="a9"/>
        <w:spacing w:line="360" w:lineRule="auto"/>
        <w:ind w:left="802" w:firstLineChars="0" w:firstLine="0"/>
        <w:rPr>
          <w:rFonts w:ascii="楷体_GB2312" w:eastAsia="楷体_GB2312" w:hAnsi="黑体" w:cs="仿宋_GB2312"/>
          <w:b/>
          <w:sz w:val="32"/>
        </w:rPr>
      </w:pPr>
      <w:r>
        <w:rPr>
          <w:rFonts w:ascii="楷体_GB2312" w:eastAsia="楷体_GB2312" w:hAnsi="黑体" w:cs="仿宋_GB2312" w:hint="eastAsia"/>
          <w:b/>
          <w:sz w:val="32"/>
        </w:rPr>
        <w:lastRenderedPageBreak/>
        <w:t>二、规范行政行为，扎实推进依法行政工作</w:t>
      </w:r>
    </w:p>
    <w:p w:rsidR="00CA6A62" w:rsidRDefault="004926C9">
      <w:pPr>
        <w:autoSpaceDE w:val="0"/>
        <w:autoSpaceDN w:val="0"/>
        <w:adjustRightInd w:val="0"/>
        <w:spacing w:line="360" w:lineRule="auto"/>
        <w:ind w:firstLineChars="200" w:firstLine="643"/>
        <w:rPr>
          <w:rFonts w:ascii="宋体" w:eastAsia="仿宋_GB2312" w:cs="仿宋_GB2312"/>
          <w:sz w:val="32"/>
          <w:szCs w:val="24"/>
        </w:rPr>
      </w:pPr>
      <w:r>
        <w:rPr>
          <w:rFonts w:ascii="仿宋_GB2312" w:eastAsia="仿宋_GB2312" w:hint="eastAsia"/>
          <w:b/>
          <w:sz w:val="32"/>
          <w:szCs w:val="32"/>
        </w:rPr>
        <w:t>一是</w:t>
      </w:r>
      <w:r>
        <w:rPr>
          <w:rFonts w:eastAsia="仿宋_GB2312" w:cs="仿宋_GB2312" w:hint="eastAsia"/>
          <w:b/>
          <w:sz w:val="32"/>
        </w:rPr>
        <w:t>着力强化</w:t>
      </w:r>
      <w:r>
        <w:rPr>
          <w:rFonts w:eastAsia="仿宋_GB2312" w:cs="仿宋_GB2312"/>
          <w:b/>
          <w:sz w:val="32"/>
        </w:rPr>
        <w:t>法</w:t>
      </w:r>
      <w:r>
        <w:rPr>
          <w:rFonts w:eastAsia="仿宋_GB2312" w:cs="仿宋_GB2312" w:hint="eastAsia"/>
          <w:b/>
          <w:sz w:val="32"/>
        </w:rPr>
        <w:t>制</w:t>
      </w:r>
      <w:r>
        <w:rPr>
          <w:rFonts w:eastAsia="仿宋_GB2312" w:cs="仿宋_GB2312"/>
          <w:b/>
          <w:sz w:val="32"/>
        </w:rPr>
        <w:t>建设。</w:t>
      </w:r>
      <w:r>
        <w:rPr>
          <w:rFonts w:ascii="仿宋_GB2312" w:eastAsia="仿宋_GB2312" w:hAnsi="楷体" w:hint="eastAsia"/>
          <w:sz w:val="32"/>
          <w:szCs w:val="32"/>
        </w:rPr>
        <w:t>积极开展内部工作制度的制定或修改；严格履行有关程序规定，规范推进</w:t>
      </w:r>
      <w:r>
        <w:rPr>
          <w:rFonts w:ascii="宋体" w:eastAsia="仿宋_GB2312" w:hAnsi="宋体" w:cs="仿宋_GB2312" w:hint="eastAsia"/>
          <w:sz w:val="32"/>
          <w:szCs w:val="24"/>
        </w:rPr>
        <w:t>局年度重大行政决策事项项</w:t>
      </w:r>
      <w:r>
        <w:rPr>
          <w:rFonts w:ascii="仿宋_GB2312" w:eastAsia="仿宋_GB2312" w:hAnsi="楷体" w:hint="eastAsia"/>
          <w:sz w:val="32"/>
          <w:szCs w:val="32"/>
        </w:rPr>
        <w:t>工作，</w:t>
      </w:r>
      <w:r>
        <w:rPr>
          <w:rFonts w:ascii="宋体" w:eastAsia="仿宋_GB2312" w:cs="仿宋_GB2312" w:hint="eastAsia"/>
          <w:sz w:val="32"/>
          <w:szCs w:val="24"/>
        </w:rPr>
        <w:t>落实过程公示、记录等相关制度。</w:t>
      </w:r>
    </w:p>
    <w:p w:rsidR="00CA6A62" w:rsidRDefault="004926C9">
      <w:pPr>
        <w:autoSpaceDE w:val="0"/>
        <w:autoSpaceDN w:val="0"/>
        <w:adjustRightInd w:val="0"/>
        <w:spacing w:line="360" w:lineRule="auto"/>
        <w:ind w:firstLineChars="200" w:firstLine="643"/>
        <w:rPr>
          <w:rFonts w:ascii="仿宋_GB2312" w:eastAsia="仿宋_GB2312" w:hAnsi="楷体"/>
          <w:sz w:val="32"/>
          <w:szCs w:val="32"/>
        </w:rPr>
      </w:pPr>
      <w:r>
        <w:rPr>
          <w:rFonts w:ascii="仿宋_GB2312" w:eastAsia="仿宋_GB2312" w:hint="eastAsia"/>
          <w:b/>
          <w:sz w:val="32"/>
          <w:szCs w:val="32"/>
        </w:rPr>
        <w:t>二是积极</w:t>
      </w:r>
      <w:r>
        <w:rPr>
          <w:rFonts w:ascii="仿宋_GB2312" w:eastAsia="仿宋_GB2312"/>
          <w:b/>
          <w:sz w:val="32"/>
          <w:szCs w:val="32"/>
        </w:rPr>
        <w:t>推进依法行政</w:t>
      </w:r>
      <w:r>
        <w:rPr>
          <w:rFonts w:ascii="仿宋_GB2312" w:eastAsia="仿宋_GB2312" w:hint="eastAsia"/>
          <w:b/>
          <w:sz w:val="32"/>
          <w:szCs w:val="32"/>
        </w:rPr>
        <w:t>。</w:t>
      </w:r>
      <w:r>
        <w:rPr>
          <w:rFonts w:ascii="仿宋_GB2312" w:eastAsia="仿宋_GB2312" w:hAnsi="楷体" w:hint="eastAsia"/>
          <w:sz w:val="32"/>
          <w:szCs w:val="32"/>
        </w:rPr>
        <w:t>认真做好行政许可、行政处罚、企业服务及改革创新工作，梳理、公布并动态调整管理局权力清单和责任清单；强化程序意识和证据意识，不断提升执法办案质量；认真开展执法案卷评查工作，及时开展评查反馈，促进区域依法行政水平提升。</w:t>
      </w:r>
      <w:r>
        <w:rPr>
          <w:rFonts w:ascii="宋体" w:eastAsia="仿宋_GB2312" w:hAnsi="宋体" w:cs="仿宋_GB2312" w:hint="eastAsia"/>
          <w:sz w:val="32"/>
          <w:szCs w:val="24"/>
        </w:rPr>
        <w:t>及时准确报送执法行为统计数据。</w:t>
      </w:r>
    </w:p>
    <w:p w:rsidR="00CA6A62" w:rsidRDefault="004926C9">
      <w:pPr>
        <w:autoSpaceDE w:val="0"/>
        <w:autoSpaceDN w:val="0"/>
        <w:adjustRightInd w:val="0"/>
        <w:spacing w:line="360" w:lineRule="auto"/>
        <w:ind w:firstLineChars="200" w:firstLine="643"/>
        <w:rPr>
          <w:rFonts w:ascii="仿宋_GB2312" w:eastAsia="仿宋_GB2312" w:hAnsi="楷体"/>
          <w:sz w:val="32"/>
          <w:szCs w:val="32"/>
        </w:rPr>
      </w:pPr>
      <w:r>
        <w:rPr>
          <w:rFonts w:eastAsia="仿宋_GB2312" w:cs="仿宋_GB2312" w:hint="eastAsia"/>
          <w:b/>
          <w:sz w:val="32"/>
        </w:rPr>
        <w:t>三是认真应对行政争议。</w:t>
      </w:r>
      <w:r>
        <w:rPr>
          <w:rFonts w:ascii="仿宋_GB2312" w:eastAsia="仿宋_GB2312" w:hAnsi="楷体" w:hint="eastAsia"/>
          <w:sz w:val="32"/>
          <w:szCs w:val="32"/>
        </w:rPr>
        <w:t>严格依法办事，高度重视行政诉讼、行政复议工作，充分准备、积极应对。</w:t>
      </w:r>
      <w:r>
        <w:rPr>
          <w:rFonts w:ascii="仿宋_GB2312" w:eastAsia="仿宋_GB2312" w:hint="eastAsia"/>
          <w:sz w:val="32"/>
          <w:szCs w:val="32"/>
        </w:rPr>
        <w:t>同时，</w:t>
      </w:r>
      <w:r>
        <w:rPr>
          <w:rFonts w:ascii="仿宋_GB2312" w:eastAsia="仿宋_GB2312" w:hAnsi="楷体" w:hint="eastAsia"/>
          <w:sz w:val="32"/>
          <w:szCs w:val="32"/>
        </w:rPr>
        <w:t>探索法治保障提前介入有行政复议或诉讼风险的复杂执法案件，为执法行为提供参考意见，有效避免程序性和实体性法律问题。</w:t>
      </w:r>
    </w:p>
    <w:p w:rsidR="00CA6A62" w:rsidRDefault="004926C9">
      <w:pPr>
        <w:autoSpaceDE w:val="0"/>
        <w:autoSpaceDN w:val="0"/>
        <w:adjustRightInd w:val="0"/>
        <w:spacing w:line="360" w:lineRule="auto"/>
        <w:ind w:firstLineChars="200" w:firstLine="643"/>
        <w:rPr>
          <w:rFonts w:ascii="仿宋_GB2312" w:eastAsia="仿宋_GB2312" w:hAnsi="宋体"/>
          <w:sz w:val="32"/>
          <w:szCs w:val="32"/>
        </w:rPr>
      </w:pPr>
      <w:r>
        <w:rPr>
          <w:rFonts w:ascii="仿宋_GB2312" w:eastAsia="仿宋_GB2312" w:hAnsi="宋体" w:cs="宋体" w:hint="eastAsia"/>
          <w:b/>
          <w:kern w:val="0"/>
          <w:sz w:val="32"/>
          <w:szCs w:val="32"/>
        </w:rPr>
        <w:t>四是大力开展</w:t>
      </w:r>
      <w:r>
        <w:rPr>
          <w:rFonts w:ascii="仿宋_GB2312" w:eastAsia="仿宋_GB2312" w:hAnsi="宋体" w:cs="宋体"/>
          <w:b/>
          <w:kern w:val="0"/>
          <w:sz w:val="32"/>
          <w:szCs w:val="32"/>
        </w:rPr>
        <w:t>普法宣传。</w:t>
      </w:r>
      <w:r>
        <w:rPr>
          <w:rFonts w:ascii="仿宋_GB2312" w:eastAsia="仿宋_GB2312" w:hAnsi="楷体" w:hint="eastAsia"/>
          <w:sz w:val="32"/>
          <w:szCs w:val="32"/>
        </w:rPr>
        <w:t>制定年度普法计划及责任清单，</w:t>
      </w:r>
      <w:r>
        <w:rPr>
          <w:rFonts w:ascii="仿宋_GB2312" w:eastAsia="仿宋_GB2312" w:hAnsi="宋体" w:hint="eastAsia"/>
          <w:sz w:val="32"/>
          <w:szCs w:val="32"/>
        </w:rPr>
        <w:t>围绕年度重点普法项目，通过积极打造宣传培训品牌、举办系列讲座、举办开放日、开展现场咨询、组织专项检查等多种方式，宣贯人力资源和劳动保障相关法律法规和政策，构建区域和谐稳定劳动关系，</w:t>
      </w:r>
      <w:hyperlink r:id="rId7" w:tgtFrame="_blank" w:history="1">
        <w:r>
          <w:rPr>
            <w:rFonts w:ascii="仿宋_GB2312" w:eastAsia="仿宋_GB2312" w:hAnsi="宋体"/>
            <w:sz w:val="32"/>
            <w:szCs w:val="32"/>
          </w:rPr>
          <w:t>提高法治宣传实效</w:t>
        </w:r>
      </w:hyperlink>
      <w:r>
        <w:rPr>
          <w:rFonts w:ascii="仿宋_GB2312" w:eastAsia="仿宋_GB2312" w:hAnsi="宋体" w:hint="eastAsia"/>
          <w:sz w:val="32"/>
          <w:szCs w:val="32"/>
        </w:rPr>
        <w:t>。</w:t>
      </w:r>
    </w:p>
    <w:p w:rsidR="00CA6A62" w:rsidRDefault="004926C9">
      <w:pPr>
        <w:widowControl/>
        <w:spacing w:line="360" w:lineRule="auto"/>
        <w:ind w:firstLineChars="196" w:firstLine="630"/>
        <w:rPr>
          <w:rFonts w:ascii="仿宋_GB2312" w:eastAsia="仿宋_GB2312" w:hAnsi="宋体"/>
          <w:sz w:val="32"/>
          <w:szCs w:val="32"/>
        </w:rPr>
      </w:pPr>
      <w:r>
        <w:rPr>
          <w:rFonts w:ascii="仿宋_GB2312" w:eastAsia="仿宋_GB2312" w:hAnsi="宋体" w:cs="宋体" w:hint="eastAsia"/>
          <w:b/>
          <w:kern w:val="0"/>
          <w:sz w:val="32"/>
          <w:szCs w:val="32"/>
        </w:rPr>
        <w:t>五是严格落实保密工作。</w:t>
      </w:r>
      <w:r>
        <w:rPr>
          <w:rFonts w:ascii="仿宋_GB2312" w:eastAsia="仿宋_GB2312" w:hAnsi="宋体" w:hint="eastAsia"/>
          <w:sz w:val="32"/>
          <w:szCs w:val="32"/>
        </w:rPr>
        <w:t>加强机关日常保密管理，突出抓好重点涉密人员、机要室、公务网涉密机房等要害部位和涉密公文、保密废纸等关键环节的保密管理。重点加强计算</w:t>
      </w:r>
      <w:r>
        <w:rPr>
          <w:rFonts w:ascii="仿宋_GB2312" w:eastAsia="仿宋_GB2312" w:hAnsi="宋体" w:hint="eastAsia"/>
          <w:sz w:val="32"/>
          <w:szCs w:val="32"/>
        </w:rPr>
        <w:lastRenderedPageBreak/>
        <w:t>机网络安全管理，落实责任，加大督促检查力度。保密普法宣传教育常抓不懈，多次组织全员专题学习，提高保密意识。</w:t>
      </w:r>
      <w:r>
        <w:rPr>
          <w:rFonts w:ascii="仿宋_GB2312" w:eastAsia="仿宋_GB2312" w:hAnsi="宋体" w:hint="eastAsia"/>
          <w:b/>
          <w:bCs/>
          <w:sz w:val="32"/>
          <w:szCs w:val="32"/>
        </w:rPr>
        <w:t>六是</w:t>
      </w:r>
      <w:r>
        <w:rPr>
          <w:rFonts w:ascii="仿宋_GB2312" w:eastAsia="仿宋_GB2312" w:hAnsi="宋体" w:cs="宋体" w:hint="eastAsia"/>
          <w:b/>
          <w:bCs/>
          <w:kern w:val="0"/>
          <w:sz w:val="32"/>
          <w:szCs w:val="32"/>
        </w:rPr>
        <w:t>加大政务公开工作力度。</w:t>
      </w:r>
      <w:r>
        <w:rPr>
          <w:rFonts w:ascii="仿宋_GB2312" w:eastAsia="仿宋_GB2312" w:hAnsi="宋体" w:cs="宋体" w:hint="eastAsia"/>
          <w:kern w:val="0"/>
          <w:sz w:val="32"/>
          <w:szCs w:val="32"/>
        </w:rPr>
        <w:t>大力推进决策、执行、管理、服务、结果公开。</w:t>
      </w:r>
      <w:r>
        <w:rPr>
          <w:rFonts w:ascii="仿宋_GB2312" w:eastAsia="仿宋_GB2312" w:hAnsi="宋体" w:hint="eastAsia"/>
          <w:sz w:val="32"/>
          <w:szCs w:val="32"/>
        </w:rPr>
        <w:t>加强管理局门户网站栏目更新管理，提高信息发布的数量和质量，满足市场主体对相关政务信息的需求。加大公文主动公开力度，依法做好申请公开的办理。开展“提倡建筑节能降耗，助力绿色生态城区建设”主题的“政府开放日”线上直播活动。创新智能政务服务，打造“智能政务服务窗口”，拓宽线上服务功能，推进政务服务自助终端进楼宇。</w:t>
      </w:r>
    </w:p>
    <w:p w:rsidR="00CA6A62" w:rsidRDefault="004926C9">
      <w:pPr>
        <w:pStyle w:val="a9"/>
        <w:spacing w:line="360" w:lineRule="auto"/>
        <w:ind w:left="802" w:firstLineChars="0" w:firstLine="0"/>
        <w:rPr>
          <w:rFonts w:ascii="楷体_GB2312" w:eastAsia="楷体_GB2312" w:hAnsi="黑体" w:cs="仿宋_GB2312"/>
          <w:b/>
          <w:sz w:val="32"/>
        </w:rPr>
      </w:pPr>
      <w:r>
        <w:rPr>
          <w:rFonts w:ascii="楷体_GB2312" w:eastAsia="楷体_GB2312" w:hAnsi="黑体" w:cs="仿宋_GB2312" w:hint="eastAsia"/>
          <w:b/>
          <w:sz w:val="32"/>
        </w:rPr>
        <w:t>三、完善基础保障，持续健全依法行政机制</w:t>
      </w:r>
    </w:p>
    <w:p w:rsidR="00CA6A62" w:rsidRDefault="004926C9">
      <w:pPr>
        <w:spacing w:line="360" w:lineRule="auto"/>
        <w:ind w:firstLineChars="200" w:firstLine="643"/>
        <w:rPr>
          <w:rFonts w:ascii="仿宋_GB2312" w:eastAsia="仿宋_GB2312" w:hAnsi="楷体"/>
          <w:sz w:val="32"/>
          <w:szCs w:val="32"/>
        </w:rPr>
      </w:pPr>
      <w:r>
        <w:rPr>
          <w:rFonts w:ascii="仿宋_GB2312" w:eastAsia="仿宋_GB2312" w:hAnsi="宋体" w:hint="eastAsia"/>
          <w:b/>
          <w:bCs/>
          <w:sz w:val="32"/>
          <w:szCs w:val="32"/>
        </w:rPr>
        <w:t>一是推进一体化信息管理服务平台建设，夯实区域信息共享</w:t>
      </w:r>
      <w:r>
        <w:rPr>
          <w:rFonts w:ascii="仿宋_GB2312" w:eastAsia="仿宋_GB2312" w:hAnsi="宋体"/>
          <w:b/>
          <w:bCs/>
          <w:sz w:val="32"/>
          <w:szCs w:val="32"/>
        </w:rPr>
        <w:t>机制。</w:t>
      </w:r>
      <w:r>
        <w:rPr>
          <w:rFonts w:ascii="仿宋_GB2312" w:eastAsia="仿宋_GB2312" w:hAnsi="楷体" w:hint="eastAsia"/>
          <w:sz w:val="32"/>
          <w:szCs w:val="32"/>
        </w:rPr>
        <w:t>利用信息化技术和手段，完善区域信息共享机制，支持管理部门的监管协同和服务集成。年内积极推进一体化平台建设，重点响应贸易监管场景下监管部门需求，开发应用模块满足区域管理的需要，为“管得住、放得开、优服务”探索有效路径。</w:t>
      </w:r>
    </w:p>
    <w:p w:rsidR="00CA6A62" w:rsidRDefault="004926C9">
      <w:pPr>
        <w:spacing w:line="360" w:lineRule="auto"/>
        <w:ind w:firstLineChars="200" w:firstLine="643"/>
        <w:rPr>
          <w:rFonts w:ascii="仿宋_GB2312" w:eastAsia="仿宋_GB2312" w:hAnsi="宋体"/>
          <w:sz w:val="32"/>
          <w:szCs w:val="32"/>
        </w:rPr>
      </w:pPr>
      <w:r>
        <w:rPr>
          <w:rFonts w:eastAsia="仿宋_GB2312" w:cs="仿宋_GB2312" w:hint="eastAsia"/>
          <w:b/>
          <w:bCs/>
          <w:sz w:val="32"/>
        </w:rPr>
        <w:t>二是充分发挥专业队伍力量，</w:t>
      </w:r>
      <w:r>
        <w:rPr>
          <w:rFonts w:eastAsia="仿宋_GB2312" w:cs="仿宋_GB2312"/>
          <w:b/>
          <w:bCs/>
          <w:sz w:val="32"/>
        </w:rPr>
        <w:t>持续</w:t>
      </w:r>
      <w:r>
        <w:rPr>
          <w:rFonts w:eastAsia="仿宋_GB2312" w:cs="仿宋_GB2312" w:hint="eastAsia"/>
          <w:b/>
          <w:bCs/>
          <w:sz w:val="32"/>
        </w:rPr>
        <w:t>完善法律顾问工作机制。</w:t>
      </w:r>
      <w:r>
        <w:rPr>
          <w:rFonts w:ascii="仿宋_GB2312" w:eastAsia="仿宋_GB2312" w:hAnsi="楷体" w:hint="eastAsia"/>
          <w:sz w:val="32"/>
          <w:szCs w:val="32"/>
        </w:rPr>
        <w:t>推动外聘法律顾问持续深度参与局内部文件草案的研究、审核，积极参与行政案件的应诉，积极参与使局内各类合同的法律审核工作；局内公职律师积极办理各类涉法业务，有效开展法制工作。。</w:t>
      </w:r>
    </w:p>
    <w:p w:rsidR="00CA6A62" w:rsidRDefault="004926C9">
      <w:pPr>
        <w:autoSpaceDE w:val="0"/>
        <w:autoSpaceDN w:val="0"/>
        <w:adjustRightInd w:val="0"/>
        <w:spacing w:line="360" w:lineRule="auto"/>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四、主动担当作为，打造特色亮点</w:t>
      </w:r>
    </w:p>
    <w:p w:rsidR="00CA6A62" w:rsidRDefault="004926C9">
      <w:pPr>
        <w:autoSpaceDE w:val="0"/>
        <w:autoSpaceDN w:val="0"/>
        <w:adjustRightInd w:val="0"/>
        <w:spacing w:line="360" w:lineRule="auto"/>
        <w:ind w:firstLineChars="200" w:firstLine="643"/>
        <w:rPr>
          <w:rFonts w:ascii="仿宋_GB2312" w:eastAsia="仿宋_GB2312" w:hAnsi="楷体"/>
          <w:sz w:val="32"/>
          <w:szCs w:val="32"/>
        </w:rPr>
      </w:pPr>
      <w:r>
        <w:rPr>
          <w:rFonts w:ascii="仿宋_GB2312" w:eastAsia="仿宋_GB2312" w:hAnsi="仿宋" w:hint="eastAsia"/>
          <w:b/>
          <w:sz w:val="32"/>
          <w:szCs w:val="32"/>
        </w:rPr>
        <w:t>一是主动加快区域建筑市场监管体系的改革创新，优化营商环境。</w:t>
      </w:r>
      <w:r>
        <w:rPr>
          <w:rFonts w:ascii="仿宋_GB2312" w:eastAsia="仿宋_GB2312" w:hAnsi="楷体" w:hint="eastAsia"/>
          <w:sz w:val="32"/>
          <w:szCs w:val="32"/>
        </w:rPr>
        <w:t>在全市率先探索开展建设工程项目履约评价,制定区内统一的评价体系并投入使用“信息化管理系统”，为全市完善招标评标领域监管积累相关经验。以企业实际需求为导向，推动保税区域首个建设工程总承包项目落地实施，创新推出“交钥匙承包”模式，使项目较传统招标流程提前近一个月的时间，深化了区内建设项目招投标领域改革，为保税区域打造更具国际竞争力的营商和投资发展环境积累经验。</w:t>
      </w:r>
    </w:p>
    <w:p w:rsidR="00CA6A62" w:rsidRDefault="004926C9" w:rsidP="00300AA1">
      <w:pPr>
        <w:autoSpaceDE w:val="0"/>
        <w:autoSpaceDN w:val="0"/>
        <w:adjustRightInd w:val="0"/>
        <w:spacing w:line="360" w:lineRule="auto"/>
        <w:ind w:firstLineChars="200" w:firstLine="658"/>
        <w:rPr>
          <w:rFonts w:ascii="仿宋_GB2312" w:eastAsia="仿宋_GB2312" w:hAnsi="宋体"/>
          <w:bCs/>
          <w:snapToGrid w:val="0"/>
          <w:color w:val="000000"/>
          <w:spacing w:val="4"/>
          <w:kern w:val="0"/>
          <w:sz w:val="32"/>
          <w:szCs w:val="28"/>
        </w:rPr>
      </w:pPr>
      <w:r>
        <w:rPr>
          <w:rFonts w:ascii="仿宋_GB2312" w:eastAsia="仿宋_GB2312" w:hAnsi="宋体" w:hint="eastAsia"/>
          <w:b/>
          <w:snapToGrid w:val="0"/>
          <w:color w:val="000000"/>
          <w:spacing w:val="4"/>
          <w:kern w:val="0"/>
          <w:sz w:val="32"/>
          <w:szCs w:val="28"/>
        </w:rPr>
        <w:t>二是积极参与引领区立法工作</w:t>
      </w:r>
      <w:r>
        <w:rPr>
          <w:rFonts w:ascii="仿宋_GB2312" w:eastAsia="仿宋_GB2312" w:hAnsi="宋体"/>
          <w:b/>
          <w:snapToGrid w:val="0"/>
          <w:color w:val="000000"/>
          <w:spacing w:val="4"/>
          <w:kern w:val="0"/>
          <w:sz w:val="32"/>
          <w:szCs w:val="28"/>
        </w:rPr>
        <w:t>。</w:t>
      </w:r>
      <w:r>
        <w:rPr>
          <w:rFonts w:ascii="仿宋_GB2312" w:eastAsia="仿宋_GB2312" w:hAnsi="宋体" w:hint="eastAsia"/>
          <w:bCs/>
          <w:snapToGrid w:val="0"/>
          <w:color w:val="000000"/>
          <w:spacing w:val="4"/>
          <w:kern w:val="0"/>
          <w:sz w:val="32"/>
          <w:szCs w:val="28"/>
        </w:rPr>
        <w:t>围绕《引领区意见》核心内容，聚焦浦东承载的国家重大战略和改革创新任务，持续收集更新区域内法治保障需求各类项目，</w:t>
      </w:r>
      <w:r>
        <w:rPr>
          <w:rFonts w:ascii="仿宋_GB2312" w:eastAsia="仿宋_GB2312" w:hAnsi="宋体"/>
          <w:bCs/>
          <w:snapToGrid w:val="0"/>
          <w:color w:val="000000"/>
          <w:spacing w:val="4"/>
          <w:kern w:val="0"/>
          <w:sz w:val="32"/>
          <w:szCs w:val="28"/>
        </w:rPr>
        <w:t>及时做好申报</w:t>
      </w:r>
      <w:r>
        <w:rPr>
          <w:rFonts w:ascii="仿宋_GB2312" w:eastAsia="仿宋_GB2312" w:hAnsi="楷体" w:hint="eastAsia"/>
          <w:sz w:val="32"/>
          <w:szCs w:val="32"/>
        </w:rPr>
        <w:t>、研究和宣传工作。同时，认真</w:t>
      </w:r>
      <w:r>
        <w:rPr>
          <w:rFonts w:ascii="仿宋_GB2312" w:eastAsia="仿宋_GB2312" w:hAnsi="宋体" w:hint="eastAsia"/>
          <w:bCs/>
          <w:snapToGrid w:val="0"/>
          <w:color w:val="000000"/>
          <w:spacing w:val="4"/>
          <w:kern w:val="0"/>
          <w:sz w:val="32"/>
          <w:szCs w:val="28"/>
        </w:rPr>
        <w:t>梳理当前市场主体较集中的诉求点、区域产业发展的关节点，从制度创新、产业升级、功能拓展、扩大开放以及营商环境方面等方面探讨概括形成立法诉求。</w:t>
      </w:r>
    </w:p>
    <w:p w:rsidR="00CA6A62" w:rsidRDefault="004926C9" w:rsidP="00300AA1">
      <w:pPr>
        <w:autoSpaceDE w:val="0"/>
        <w:autoSpaceDN w:val="0"/>
        <w:adjustRightInd w:val="0"/>
        <w:spacing w:line="360" w:lineRule="auto"/>
        <w:ind w:firstLineChars="200" w:firstLine="658"/>
        <w:rPr>
          <w:rFonts w:ascii="仿宋_GB2312" w:eastAsia="仿宋_GB2312"/>
          <w:color w:val="000000"/>
          <w:sz w:val="32"/>
          <w:szCs w:val="32"/>
          <w:shd w:val="clear" w:color="auto" w:fill="FFFFFF"/>
        </w:rPr>
      </w:pPr>
      <w:r>
        <w:rPr>
          <w:rFonts w:ascii="仿宋_GB2312" w:eastAsia="仿宋_GB2312" w:hAnsi="宋体" w:hint="eastAsia"/>
          <w:b/>
          <w:snapToGrid w:val="0"/>
          <w:color w:val="000000"/>
          <w:spacing w:val="4"/>
          <w:kern w:val="0"/>
          <w:sz w:val="32"/>
          <w:szCs w:val="28"/>
        </w:rPr>
        <w:t>三是主动建立完善内部管理制度，保障法治政府建设。</w:t>
      </w:r>
      <w:r>
        <w:rPr>
          <w:rFonts w:ascii="仿宋_GB2312" w:eastAsia="仿宋_GB2312" w:hAnsi="宋体" w:hint="eastAsia"/>
          <w:bCs/>
          <w:snapToGrid w:val="0"/>
          <w:color w:val="000000"/>
          <w:spacing w:val="4"/>
          <w:kern w:val="0"/>
          <w:sz w:val="32"/>
          <w:szCs w:val="28"/>
        </w:rPr>
        <w:t>新制定《保税区管理局政府购买服务管理办法》《保税区管理局预算资金管理办法》《保税区管理局国有资产管理办法》，修订了《保税区管理局及直属单位工作人员请休假制度》。通过加强对公共资金使用、公共资源分配、人</w:t>
      </w:r>
      <w:r>
        <w:rPr>
          <w:rFonts w:ascii="仿宋_GB2312" w:eastAsia="仿宋_GB2312" w:hAnsi="宋体" w:hint="eastAsia"/>
          <w:bCs/>
          <w:snapToGrid w:val="0"/>
          <w:color w:val="000000"/>
          <w:spacing w:val="4"/>
          <w:kern w:val="0"/>
          <w:sz w:val="32"/>
          <w:szCs w:val="28"/>
        </w:rPr>
        <w:lastRenderedPageBreak/>
        <w:t>员管理等监督，使政府内部管理达到规范有序，符合依法行政要求。</w:t>
      </w:r>
    </w:p>
    <w:p w:rsidR="00CA6A62" w:rsidRDefault="004926C9">
      <w:pPr>
        <w:spacing w:line="360" w:lineRule="auto"/>
        <w:ind w:firstLineChars="200" w:firstLine="624"/>
        <w:rPr>
          <w:rFonts w:eastAsia="仿宋_GB2312"/>
          <w:color w:val="000000"/>
          <w:spacing w:val="-4"/>
          <w:sz w:val="32"/>
        </w:rPr>
      </w:pPr>
      <w:r>
        <w:rPr>
          <w:rFonts w:eastAsia="仿宋_GB2312" w:hint="eastAsia"/>
          <w:spacing w:val="-4"/>
          <w:sz w:val="32"/>
        </w:rPr>
        <w:t>保税区域作为上海</w:t>
      </w:r>
      <w:r>
        <w:rPr>
          <w:rFonts w:eastAsia="仿宋_GB2312"/>
          <w:spacing w:val="-4"/>
          <w:sz w:val="32"/>
        </w:rPr>
        <w:t>自贸试验区的</w:t>
      </w:r>
      <w:r>
        <w:rPr>
          <w:rFonts w:eastAsia="仿宋_GB2312" w:hint="eastAsia"/>
          <w:spacing w:val="-4"/>
          <w:sz w:val="32"/>
        </w:rPr>
        <w:t>先导区</w:t>
      </w:r>
      <w:r>
        <w:rPr>
          <w:rFonts w:eastAsia="仿宋_GB2312"/>
          <w:spacing w:val="-4"/>
          <w:sz w:val="32"/>
        </w:rPr>
        <w:t>，</w:t>
      </w:r>
      <w:r>
        <w:rPr>
          <w:rFonts w:eastAsia="仿宋_GB2312" w:hint="eastAsia"/>
          <w:spacing w:val="-4"/>
          <w:sz w:val="32"/>
        </w:rPr>
        <w:t>在接下来的工作中，将坚持对照最高标准、查找短板弱项，进一步深化改革的系统集成，</w:t>
      </w:r>
      <w:r>
        <w:rPr>
          <w:rFonts w:eastAsia="仿宋_GB2312"/>
          <w:spacing w:val="-4"/>
          <w:sz w:val="32"/>
        </w:rPr>
        <w:t>扎实推进法治建设各项举措</w:t>
      </w:r>
      <w:r>
        <w:rPr>
          <w:rFonts w:eastAsia="仿宋_GB2312" w:hint="eastAsia"/>
          <w:spacing w:val="-4"/>
          <w:sz w:val="32"/>
        </w:rPr>
        <w:t>，努力在建设最高标准、最好水平的自由贸易园区方面继续走在前列，持续完善法治化、</w:t>
      </w:r>
      <w:r>
        <w:rPr>
          <w:rFonts w:eastAsia="仿宋_GB2312" w:hint="eastAsia"/>
          <w:color w:val="000000"/>
          <w:spacing w:val="-4"/>
          <w:sz w:val="32"/>
        </w:rPr>
        <w:t>国际化、便利化的营商环境，为把自贸试验区建设成为新时代改革开放新高地，推动保税区域高水平开放、高质量发展作出新的贡献。</w:t>
      </w:r>
    </w:p>
    <w:p w:rsidR="00CA6A62" w:rsidRDefault="00CA6A62"/>
    <w:sectPr w:rsidR="00CA6A62" w:rsidSect="00CA6A62">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152" w:rsidRDefault="000B5152" w:rsidP="00CA6A62">
      <w:r>
        <w:separator/>
      </w:r>
    </w:p>
  </w:endnote>
  <w:endnote w:type="continuationSeparator" w:id="1">
    <w:p w:rsidR="000B5152" w:rsidRDefault="000B5152" w:rsidP="00CA6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8659"/>
    </w:sdtPr>
    <w:sdtContent>
      <w:p w:rsidR="00CA6A62" w:rsidRDefault="000A2890">
        <w:pPr>
          <w:pStyle w:val="a4"/>
          <w:jc w:val="center"/>
        </w:pPr>
        <w:r w:rsidRPr="000A2890">
          <w:fldChar w:fldCharType="begin"/>
        </w:r>
        <w:r w:rsidR="004926C9">
          <w:instrText xml:space="preserve"> PAGE   \* MERGEFORMAT </w:instrText>
        </w:r>
        <w:r w:rsidRPr="000A2890">
          <w:fldChar w:fldCharType="separate"/>
        </w:r>
        <w:r w:rsidR="0018780A" w:rsidRPr="0018780A">
          <w:rPr>
            <w:noProof/>
            <w:lang w:val="zh-CN"/>
          </w:rPr>
          <w:t>5</w:t>
        </w:r>
        <w:r>
          <w:rPr>
            <w:lang w:val="zh-CN"/>
          </w:rPr>
          <w:fldChar w:fldCharType="end"/>
        </w:r>
      </w:p>
    </w:sdtContent>
  </w:sdt>
  <w:p w:rsidR="00CA6A62" w:rsidRDefault="00CA6A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152" w:rsidRDefault="000B5152" w:rsidP="00CA6A62">
      <w:r>
        <w:separator/>
      </w:r>
    </w:p>
  </w:footnote>
  <w:footnote w:type="continuationSeparator" w:id="1">
    <w:p w:rsidR="000B5152" w:rsidRDefault="000B5152" w:rsidP="00CA6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62" w:rsidRDefault="00CA6A62">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EzNzYzOWE1ODIyNmIyMTBjNGI2OWZhNTQyYjU1NzgifQ=="/>
  </w:docVars>
  <w:rsids>
    <w:rsidRoot w:val="0062757B"/>
    <w:rsid w:val="9D4B5CFF"/>
    <w:rsid w:val="AFBD13DA"/>
    <w:rsid w:val="BA7B23C6"/>
    <w:rsid w:val="DBFBED30"/>
    <w:rsid w:val="EFA6D0E5"/>
    <w:rsid w:val="F8D79A9F"/>
    <w:rsid w:val="FE734873"/>
    <w:rsid w:val="FF695C57"/>
    <w:rsid w:val="00010883"/>
    <w:rsid w:val="00030E97"/>
    <w:rsid w:val="00052649"/>
    <w:rsid w:val="00091FDA"/>
    <w:rsid w:val="000A2890"/>
    <w:rsid w:val="000A43DE"/>
    <w:rsid w:val="000A526D"/>
    <w:rsid w:val="000B5152"/>
    <w:rsid w:val="000B5EDA"/>
    <w:rsid w:val="000C0A22"/>
    <w:rsid w:val="000C22DD"/>
    <w:rsid w:val="000D1789"/>
    <w:rsid w:val="000E574C"/>
    <w:rsid w:val="00141227"/>
    <w:rsid w:val="00161A88"/>
    <w:rsid w:val="001654CA"/>
    <w:rsid w:val="0018780A"/>
    <w:rsid w:val="001A1F0C"/>
    <w:rsid w:val="001A3327"/>
    <w:rsid w:val="001B73BC"/>
    <w:rsid w:val="001E2260"/>
    <w:rsid w:val="00215845"/>
    <w:rsid w:val="00231BDF"/>
    <w:rsid w:val="002324B5"/>
    <w:rsid w:val="00232C8A"/>
    <w:rsid w:val="0023605E"/>
    <w:rsid w:val="00244157"/>
    <w:rsid w:val="0027281B"/>
    <w:rsid w:val="0027666C"/>
    <w:rsid w:val="00292D06"/>
    <w:rsid w:val="002B1EFE"/>
    <w:rsid w:val="002B5F8A"/>
    <w:rsid w:val="002D20E3"/>
    <w:rsid w:val="002F3DD7"/>
    <w:rsid w:val="00300AA1"/>
    <w:rsid w:val="003038D9"/>
    <w:rsid w:val="003054EE"/>
    <w:rsid w:val="0032045D"/>
    <w:rsid w:val="0033645B"/>
    <w:rsid w:val="00364008"/>
    <w:rsid w:val="00375C64"/>
    <w:rsid w:val="00376FBF"/>
    <w:rsid w:val="0039395A"/>
    <w:rsid w:val="003B3B99"/>
    <w:rsid w:val="003C0BBB"/>
    <w:rsid w:val="003F1003"/>
    <w:rsid w:val="003F18EC"/>
    <w:rsid w:val="003F39EA"/>
    <w:rsid w:val="00417A06"/>
    <w:rsid w:val="0043579F"/>
    <w:rsid w:val="00443929"/>
    <w:rsid w:val="004507E3"/>
    <w:rsid w:val="00466445"/>
    <w:rsid w:val="00473F4A"/>
    <w:rsid w:val="00476300"/>
    <w:rsid w:val="004926C9"/>
    <w:rsid w:val="00496114"/>
    <w:rsid w:val="004E378E"/>
    <w:rsid w:val="004E74D2"/>
    <w:rsid w:val="0050195D"/>
    <w:rsid w:val="005109FA"/>
    <w:rsid w:val="00512DA1"/>
    <w:rsid w:val="00545FAB"/>
    <w:rsid w:val="0055347F"/>
    <w:rsid w:val="00557512"/>
    <w:rsid w:val="00571BD2"/>
    <w:rsid w:val="005864C2"/>
    <w:rsid w:val="005B29F0"/>
    <w:rsid w:val="005E136D"/>
    <w:rsid w:val="005E4034"/>
    <w:rsid w:val="005F02BA"/>
    <w:rsid w:val="005F0863"/>
    <w:rsid w:val="005F2B45"/>
    <w:rsid w:val="00605B09"/>
    <w:rsid w:val="00611D15"/>
    <w:rsid w:val="0062757B"/>
    <w:rsid w:val="00674546"/>
    <w:rsid w:val="0067561D"/>
    <w:rsid w:val="00676938"/>
    <w:rsid w:val="00696458"/>
    <w:rsid w:val="006A3C32"/>
    <w:rsid w:val="006A5F2D"/>
    <w:rsid w:val="006B475D"/>
    <w:rsid w:val="006F0182"/>
    <w:rsid w:val="006F14CB"/>
    <w:rsid w:val="006F3DA4"/>
    <w:rsid w:val="006F605B"/>
    <w:rsid w:val="00710507"/>
    <w:rsid w:val="00720EFB"/>
    <w:rsid w:val="00736C49"/>
    <w:rsid w:val="0074168D"/>
    <w:rsid w:val="007603EC"/>
    <w:rsid w:val="00796469"/>
    <w:rsid w:val="007A308C"/>
    <w:rsid w:val="007B2AB0"/>
    <w:rsid w:val="007C1AA9"/>
    <w:rsid w:val="007C3C90"/>
    <w:rsid w:val="007C5F10"/>
    <w:rsid w:val="007E342A"/>
    <w:rsid w:val="00817603"/>
    <w:rsid w:val="008521F2"/>
    <w:rsid w:val="00860FFC"/>
    <w:rsid w:val="0086132B"/>
    <w:rsid w:val="00864AE2"/>
    <w:rsid w:val="008767F2"/>
    <w:rsid w:val="00892048"/>
    <w:rsid w:val="008A39D1"/>
    <w:rsid w:val="008B1377"/>
    <w:rsid w:val="008B4D12"/>
    <w:rsid w:val="008B5888"/>
    <w:rsid w:val="008D1D6F"/>
    <w:rsid w:val="008D515A"/>
    <w:rsid w:val="008F7380"/>
    <w:rsid w:val="0091230B"/>
    <w:rsid w:val="00964BC6"/>
    <w:rsid w:val="00970AAF"/>
    <w:rsid w:val="009830F5"/>
    <w:rsid w:val="00983C16"/>
    <w:rsid w:val="009854A0"/>
    <w:rsid w:val="00997681"/>
    <w:rsid w:val="009A0B25"/>
    <w:rsid w:val="009A3E6E"/>
    <w:rsid w:val="009B1795"/>
    <w:rsid w:val="009C09E8"/>
    <w:rsid w:val="009E0DE3"/>
    <w:rsid w:val="009E710B"/>
    <w:rsid w:val="009F4B7E"/>
    <w:rsid w:val="009F5E92"/>
    <w:rsid w:val="00A0051E"/>
    <w:rsid w:val="00A013B5"/>
    <w:rsid w:val="00A07726"/>
    <w:rsid w:val="00A64C76"/>
    <w:rsid w:val="00A77577"/>
    <w:rsid w:val="00AA3BA0"/>
    <w:rsid w:val="00AD1714"/>
    <w:rsid w:val="00AE16AE"/>
    <w:rsid w:val="00B002D5"/>
    <w:rsid w:val="00B13D26"/>
    <w:rsid w:val="00B144B7"/>
    <w:rsid w:val="00B33F02"/>
    <w:rsid w:val="00B706B9"/>
    <w:rsid w:val="00B83C9B"/>
    <w:rsid w:val="00B8661F"/>
    <w:rsid w:val="00B97DB2"/>
    <w:rsid w:val="00BC1BEC"/>
    <w:rsid w:val="00BC3865"/>
    <w:rsid w:val="00BC59A2"/>
    <w:rsid w:val="00BF4779"/>
    <w:rsid w:val="00C0321B"/>
    <w:rsid w:val="00C0793A"/>
    <w:rsid w:val="00C13C9E"/>
    <w:rsid w:val="00C363BA"/>
    <w:rsid w:val="00C419BA"/>
    <w:rsid w:val="00C53B9A"/>
    <w:rsid w:val="00C91AF9"/>
    <w:rsid w:val="00CA2010"/>
    <w:rsid w:val="00CA6A62"/>
    <w:rsid w:val="00CC3988"/>
    <w:rsid w:val="00CC4E1A"/>
    <w:rsid w:val="00CE0759"/>
    <w:rsid w:val="00CF27F1"/>
    <w:rsid w:val="00D003E8"/>
    <w:rsid w:val="00D03FC2"/>
    <w:rsid w:val="00D22BC0"/>
    <w:rsid w:val="00D23EB2"/>
    <w:rsid w:val="00D426E0"/>
    <w:rsid w:val="00D439A5"/>
    <w:rsid w:val="00D76AD8"/>
    <w:rsid w:val="00D95499"/>
    <w:rsid w:val="00DA05FD"/>
    <w:rsid w:val="00DB749A"/>
    <w:rsid w:val="00DE5962"/>
    <w:rsid w:val="00DF08C3"/>
    <w:rsid w:val="00E046AD"/>
    <w:rsid w:val="00E36D20"/>
    <w:rsid w:val="00E757DB"/>
    <w:rsid w:val="00E84FEC"/>
    <w:rsid w:val="00E9404B"/>
    <w:rsid w:val="00EA1472"/>
    <w:rsid w:val="00F03843"/>
    <w:rsid w:val="00F213E7"/>
    <w:rsid w:val="00F9799F"/>
    <w:rsid w:val="00FC25BF"/>
    <w:rsid w:val="00FD5047"/>
    <w:rsid w:val="00FF4A7D"/>
    <w:rsid w:val="17FFAF9A"/>
    <w:rsid w:val="2F7523CA"/>
    <w:rsid w:val="3E3F98DB"/>
    <w:rsid w:val="49B5973D"/>
    <w:rsid w:val="50F7C49F"/>
    <w:rsid w:val="57B75FB9"/>
    <w:rsid w:val="5EFA7CCD"/>
    <w:rsid w:val="6AD4392D"/>
    <w:rsid w:val="6DBFD81E"/>
    <w:rsid w:val="77EC43F0"/>
    <w:rsid w:val="7BCB1F85"/>
    <w:rsid w:val="7DBFFA80"/>
    <w:rsid w:val="7E9BD58A"/>
    <w:rsid w:val="7F7D58EC"/>
    <w:rsid w:val="7FC585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62"/>
    <w:pPr>
      <w:widowControl w:val="0"/>
      <w:jc w:val="both"/>
    </w:pPr>
    <w:rPr>
      <w:rFonts w:ascii="Calibri" w:hAnsi="Calibri"/>
      <w:kern w:val="2"/>
      <w:sz w:val="21"/>
      <w:szCs w:val="22"/>
    </w:rPr>
  </w:style>
  <w:style w:type="paragraph" w:styleId="1">
    <w:name w:val="heading 1"/>
    <w:basedOn w:val="a"/>
    <w:next w:val="a"/>
    <w:link w:val="1Char"/>
    <w:uiPriority w:val="9"/>
    <w:qFormat/>
    <w:rsid w:val="00CA6A6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CA6A6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A6A62"/>
    <w:rPr>
      <w:sz w:val="18"/>
      <w:szCs w:val="18"/>
    </w:rPr>
  </w:style>
  <w:style w:type="paragraph" w:styleId="a4">
    <w:name w:val="footer"/>
    <w:basedOn w:val="a"/>
    <w:link w:val="Char0"/>
    <w:uiPriority w:val="99"/>
    <w:unhideWhenUsed/>
    <w:qFormat/>
    <w:rsid w:val="00CA6A6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A6A62"/>
    <w:pPr>
      <w:pBdr>
        <w:bottom w:val="single" w:sz="6" w:space="1" w:color="auto"/>
      </w:pBdr>
      <w:tabs>
        <w:tab w:val="center" w:pos="4153"/>
        <w:tab w:val="right" w:pos="8306"/>
      </w:tabs>
      <w:snapToGrid w:val="0"/>
      <w:jc w:val="center"/>
    </w:pPr>
    <w:rPr>
      <w:sz w:val="18"/>
      <w:szCs w:val="18"/>
    </w:rPr>
  </w:style>
  <w:style w:type="paragraph" w:styleId="a6">
    <w:name w:val="Normal (Web)"/>
    <w:uiPriority w:val="99"/>
    <w:qFormat/>
    <w:rsid w:val="00CA6A62"/>
    <w:pPr>
      <w:spacing w:before="100" w:after="100"/>
    </w:pPr>
    <w:rPr>
      <w:rFonts w:ascii="宋体" w:hAnsi="宋体" w:cs="宋体"/>
      <w:color w:val="000000"/>
      <w:sz w:val="24"/>
      <w:szCs w:val="24"/>
    </w:rPr>
  </w:style>
  <w:style w:type="character" w:styleId="a7">
    <w:name w:val="Emphasis"/>
    <w:uiPriority w:val="20"/>
    <w:qFormat/>
    <w:rsid w:val="00CA6A62"/>
    <w:rPr>
      <w:i/>
      <w:iCs/>
    </w:rPr>
  </w:style>
  <w:style w:type="character" w:styleId="a8">
    <w:name w:val="Hyperlink"/>
    <w:uiPriority w:val="99"/>
    <w:unhideWhenUsed/>
    <w:qFormat/>
    <w:rsid w:val="00CA6A62"/>
    <w:rPr>
      <w:color w:val="0000FF"/>
      <w:u w:val="single"/>
    </w:rPr>
  </w:style>
  <w:style w:type="character" w:customStyle="1" w:styleId="1Char">
    <w:name w:val="标题 1 Char"/>
    <w:link w:val="1"/>
    <w:uiPriority w:val="9"/>
    <w:qFormat/>
    <w:rsid w:val="00CA6A62"/>
    <w:rPr>
      <w:b/>
      <w:bCs/>
      <w:kern w:val="44"/>
      <w:sz w:val="44"/>
      <w:szCs w:val="44"/>
    </w:rPr>
  </w:style>
  <w:style w:type="character" w:customStyle="1" w:styleId="3Char">
    <w:name w:val="标题 3 Char"/>
    <w:link w:val="3"/>
    <w:uiPriority w:val="9"/>
    <w:qFormat/>
    <w:rsid w:val="00CA6A62"/>
    <w:rPr>
      <w:rFonts w:ascii="宋体" w:eastAsia="宋体" w:hAnsi="宋体" w:cs="宋体"/>
      <w:b/>
      <w:bCs/>
      <w:sz w:val="27"/>
      <w:szCs w:val="27"/>
    </w:rPr>
  </w:style>
  <w:style w:type="character" w:customStyle="1" w:styleId="Char">
    <w:name w:val="批注框文本 Char"/>
    <w:link w:val="a3"/>
    <w:uiPriority w:val="99"/>
    <w:semiHidden/>
    <w:qFormat/>
    <w:rsid w:val="00CA6A62"/>
    <w:rPr>
      <w:sz w:val="18"/>
      <w:szCs w:val="18"/>
    </w:rPr>
  </w:style>
  <w:style w:type="character" w:customStyle="1" w:styleId="Char0">
    <w:name w:val="页脚 Char"/>
    <w:link w:val="a4"/>
    <w:uiPriority w:val="99"/>
    <w:qFormat/>
    <w:rsid w:val="00CA6A62"/>
    <w:rPr>
      <w:sz w:val="18"/>
      <w:szCs w:val="18"/>
    </w:rPr>
  </w:style>
  <w:style w:type="character" w:customStyle="1" w:styleId="Char1">
    <w:name w:val="页眉 Char"/>
    <w:link w:val="a5"/>
    <w:uiPriority w:val="99"/>
    <w:qFormat/>
    <w:rsid w:val="00CA6A62"/>
    <w:rPr>
      <w:sz w:val="18"/>
      <w:szCs w:val="18"/>
    </w:rPr>
  </w:style>
  <w:style w:type="paragraph" w:styleId="a9">
    <w:name w:val="List Paragraph"/>
    <w:basedOn w:val="a"/>
    <w:uiPriority w:val="34"/>
    <w:qFormat/>
    <w:rsid w:val="00CA6A62"/>
    <w:pPr>
      <w:ind w:firstLineChars="200" w:firstLine="420"/>
    </w:pPr>
  </w:style>
  <w:style w:type="character" w:customStyle="1" w:styleId="articletitletext">
    <w:name w:val="article__title_text"/>
    <w:qFormat/>
    <w:rsid w:val="00CA6A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com/link?m=bHUjIFUMp%2FFqdlv13hwJ98stzcehEX3TnzObY2LupX0hiM%2By32IPe4uBw1AJ1yFWtubbJIuwsvs1FfDcs6i44kkIfiUfXyNk1wFkkynDGjVkeZ9RIxbQpnhRYX5srn07NQtxp0evaFhsMk6Nm5E7yakpJiKTfrjWu20ivno%2B4Ffc2PDnyHAdPGvLPmYvS8nbw1hoBPXWjm2r%2FjNYMQb9EN8wuEj03iJi%2B7itfPyOuRwYaKPHEUJ6FeKWMivdcAcZxEx%2BBfLvBC3HNa2pmWmEW3jGnH0jBJR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周青波</dc:creator>
  <cp:lastModifiedBy>lenovo</cp:lastModifiedBy>
  <cp:revision>3</cp:revision>
  <cp:lastPrinted>2022-11-17T09:03:00Z</cp:lastPrinted>
  <dcterms:created xsi:type="dcterms:W3CDTF">2024-02-01T05:16:00Z</dcterms:created>
  <dcterms:modified xsi:type="dcterms:W3CDTF">2024-02-01T05:25:00Z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8AEFAA90434D4890B90D8FD7206D30B1</vt:lpwstr>
  </property>
</Properties>
</file>