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664"/>
        </w:tabs>
        <w:kinsoku/>
        <w:wordWrap/>
        <w:overflowPunct/>
        <w:topLinePunct w:val="0"/>
        <w:autoSpaceDE/>
        <w:autoSpaceDN/>
        <w:bidi w:val="0"/>
        <w:adjustRightInd/>
        <w:snapToGrid/>
        <w:spacing w:line="120" w:lineRule="auto"/>
        <w:jc w:val="center"/>
        <w:textAlignment w:val="auto"/>
        <w:rPr>
          <w:rFonts w:ascii="方正小标宋简体" w:hAnsi="方正小标宋简体" w:eastAsia="方正小标宋简体" w:cs="方正小标宋简体"/>
          <w:bCs/>
          <w:color w:val="000000"/>
          <w:sz w:val="44"/>
          <w:szCs w:val="44"/>
        </w:rPr>
      </w:pPr>
      <w:bookmarkStart w:id="0" w:name="DFWRQ"/>
      <w:r>
        <w:rPr>
          <w:rFonts w:hint="eastAsia" w:ascii="方正小标宋简体" w:hAnsi="方正小标宋简体" w:eastAsia="方正小标宋简体" w:cs="方正小标宋简体"/>
          <w:bCs/>
          <w:color w:val="000000"/>
          <w:sz w:val="44"/>
          <w:szCs w:val="44"/>
        </w:rPr>
        <w:t>临港新片区管委会2020年法治政府建设</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情况报告</w:t>
      </w:r>
    </w:p>
    <w:bookmarkEnd w:id="0"/>
    <w:p>
      <w:pPr>
        <w:spacing w:line="600" w:lineRule="exact"/>
        <w:rPr>
          <w:rFonts w:eastAsia="仿宋_GB2312"/>
          <w:color w:val="000000"/>
          <w:sz w:val="32"/>
          <w:szCs w:val="32"/>
        </w:rPr>
      </w:pPr>
    </w:p>
    <w:p>
      <w:pPr>
        <w:keepNext w:val="0"/>
        <w:keepLines w:val="0"/>
        <w:pageBreakBefore w:val="0"/>
        <w:widowControl w:val="0"/>
        <w:kinsoku/>
        <w:overflowPunct/>
        <w:topLinePunct w:val="0"/>
        <w:autoSpaceDE/>
        <w:autoSpaceDN/>
        <w:bidi w:val="0"/>
        <w:snapToGrid/>
        <w:spacing w:line="560" w:lineRule="exact"/>
        <w:ind w:firstLine="640" w:firstLineChars="200"/>
        <w:rPr>
          <w:rFonts w:eastAsia="仿宋_GB2312"/>
          <w:color w:val="000000"/>
          <w:sz w:val="32"/>
          <w:szCs w:val="32"/>
        </w:rPr>
      </w:pPr>
      <w:r>
        <w:rPr>
          <w:rFonts w:hint="eastAsia" w:eastAsia="仿宋_GB2312"/>
          <w:color w:val="000000"/>
          <w:sz w:val="32"/>
          <w:szCs w:val="32"/>
        </w:rPr>
        <w:t>2020年，在市委、市政府领导下，临港新片区管委会深入贯彻和落实以习近平同志为核心的党中央提出的全面依法治国新理念新思想新战略，结合《法治政府建设实施纲要（2015-2020）》和《上海市法治政府建设“十三五”规划》要求，高度重视法治政府建设，加强政府立法，深化职能转变，完善行政决策机制，严格规范公正文明执法，切实保障人民群众合法权益，维护政府公信力，营造更加公开透明、运行有序、公平高效的法治环境。现将2020年管委会法治政府建设各项工作情况汇报如下：</w:t>
      </w:r>
    </w:p>
    <w:p>
      <w:pPr>
        <w:keepNext w:val="0"/>
        <w:keepLines w:val="0"/>
        <w:pageBreakBefore w:val="0"/>
        <w:widowControl w:val="0"/>
        <w:kinsoku/>
        <w:overflowPunct/>
        <w:topLinePunct w:val="0"/>
        <w:autoSpaceDE/>
        <w:autoSpaceDN/>
        <w:bidi w:val="0"/>
        <w:snapToGrid/>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一、2020年各项工作情况</w:t>
      </w:r>
    </w:p>
    <w:p>
      <w:pPr>
        <w:keepNext w:val="0"/>
        <w:keepLines w:val="0"/>
        <w:pageBreakBefore w:val="0"/>
        <w:widowControl w:val="0"/>
        <w:kinsoku/>
        <w:overflowPunct/>
        <w:topLinePunct w:val="0"/>
        <w:autoSpaceDE/>
        <w:autoSpaceDN/>
        <w:bidi w:val="0"/>
        <w:snapToGrid/>
        <w:spacing w:line="560" w:lineRule="exact"/>
        <w:ind w:firstLine="643" w:firstLineChars="200"/>
        <w:rPr>
          <w:rFonts w:eastAsia="仿宋_GB2312"/>
          <w:color w:val="000000"/>
          <w:sz w:val="32"/>
          <w:szCs w:val="32"/>
        </w:rPr>
      </w:pPr>
      <w:r>
        <w:rPr>
          <w:rFonts w:hint="eastAsia" w:ascii="楷体_GB2312" w:eastAsia="楷体_GB2312"/>
          <w:b/>
          <w:bCs/>
          <w:color w:val="000000"/>
          <w:sz w:val="32"/>
          <w:szCs w:val="32"/>
        </w:rPr>
        <w:t>（一）不断加大统筹推进力度。</w:t>
      </w:r>
      <w:r>
        <w:rPr>
          <w:rFonts w:hint="eastAsia" w:eastAsia="仿宋_GB2312"/>
          <w:b/>
          <w:bCs/>
          <w:color w:val="000000"/>
          <w:sz w:val="32"/>
          <w:szCs w:val="32"/>
        </w:rPr>
        <w:t>一是</w:t>
      </w:r>
      <w:r>
        <w:rPr>
          <w:rFonts w:hint="eastAsia" w:eastAsia="仿宋_GB2312"/>
          <w:color w:val="000000"/>
          <w:sz w:val="32"/>
          <w:szCs w:val="32"/>
        </w:rPr>
        <w:t>制定总体目标。为更好适应新形势下全面依法治国、全面依法治理临港新片区的新任务新要求，有效提升基层依法治理水平，年初管委会根据市委、市政府《关于全面加强和改进基层法治建设的意见》等文件精神，制定《临港新片区管委会党组全面加强和改进基层法治建设的意见》，成立临港新片区法治工作领导小组，切实提升基层行政执法效能，大力加强基层法治队伍建设，建立法治政府建设工作情况报告和公开制度。</w:t>
      </w:r>
      <w:r>
        <w:rPr>
          <w:rFonts w:hint="eastAsia" w:eastAsia="仿宋_GB2312"/>
          <w:b/>
          <w:bCs/>
          <w:color w:val="000000"/>
          <w:sz w:val="32"/>
          <w:szCs w:val="32"/>
        </w:rPr>
        <w:t>二是</w:t>
      </w:r>
      <w:r>
        <w:rPr>
          <w:rFonts w:hint="eastAsia" w:eastAsia="仿宋_GB2312"/>
          <w:color w:val="000000"/>
          <w:sz w:val="32"/>
          <w:szCs w:val="32"/>
        </w:rPr>
        <w:t>开展责任签约。为形成上下联动、条块结合、齐抓共管的法治建设工作格局，确保管委会法治建设责任制目标的全面完成，由主要领导与分管领导、分管领导与部门负责人共同签署法治建设工作责任书，基本形成法治政府建设责任框架和工作体系。</w:t>
      </w:r>
      <w:r>
        <w:rPr>
          <w:rFonts w:hint="eastAsia" w:eastAsia="仿宋_GB2312"/>
          <w:b/>
          <w:bCs/>
          <w:color w:val="000000"/>
          <w:sz w:val="32"/>
          <w:szCs w:val="32"/>
        </w:rPr>
        <w:t>三是</w:t>
      </w:r>
      <w:r>
        <w:rPr>
          <w:rFonts w:hint="eastAsia" w:eastAsia="仿宋_GB2312"/>
          <w:color w:val="000000"/>
          <w:sz w:val="32"/>
          <w:szCs w:val="32"/>
        </w:rPr>
        <w:t>加强制度建设。管委会已初步建立围绕各部门工作职责、制度创新和事权承接方面的制度体系，新片区成立一周年之际，印发管委会工作制度汇编，共包含108项具体制度。</w:t>
      </w:r>
    </w:p>
    <w:p>
      <w:pPr>
        <w:keepNext w:val="0"/>
        <w:keepLines w:val="0"/>
        <w:pageBreakBefore w:val="0"/>
        <w:widowControl w:val="0"/>
        <w:kinsoku/>
        <w:overflowPunct/>
        <w:topLinePunct w:val="0"/>
        <w:autoSpaceDE/>
        <w:autoSpaceDN/>
        <w:bidi w:val="0"/>
        <w:snapToGrid/>
        <w:spacing w:line="560" w:lineRule="exact"/>
        <w:ind w:firstLine="643" w:firstLineChars="200"/>
        <w:rPr>
          <w:rFonts w:eastAsia="仿宋_GB2312"/>
          <w:color w:val="000000"/>
          <w:sz w:val="32"/>
          <w:szCs w:val="32"/>
        </w:rPr>
      </w:pPr>
      <w:r>
        <w:rPr>
          <w:rFonts w:hint="eastAsia" w:ascii="楷体_GB2312" w:eastAsia="楷体_GB2312"/>
          <w:b/>
          <w:bCs/>
          <w:color w:val="000000"/>
          <w:sz w:val="32"/>
          <w:szCs w:val="32"/>
        </w:rPr>
        <w:t>（二）不断加强政府立法工作。</w:t>
      </w:r>
      <w:r>
        <w:rPr>
          <w:rFonts w:hint="eastAsia" w:eastAsia="仿宋_GB2312"/>
          <w:b/>
          <w:bCs/>
          <w:color w:val="000000"/>
          <w:sz w:val="32"/>
          <w:szCs w:val="32"/>
        </w:rPr>
        <w:t>一是</w:t>
      </w:r>
      <w:r>
        <w:rPr>
          <w:rFonts w:hint="eastAsia" w:eastAsia="仿宋_GB2312"/>
          <w:color w:val="000000"/>
          <w:sz w:val="32"/>
          <w:szCs w:val="32"/>
        </w:rPr>
        <w:t>配合市发改委参与了国务院印发的《临港新片区总体方案》、市委市政府印发的《临港新片区特殊支持政策》等文件起草工作，牵头起草了《临港新片区管理办法》。</w:t>
      </w:r>
      <w:r>
        <w:rPr>
          <w:rFonts w:hint="eastAsia" w:eastAsia="仿宋_GB2312"/>
          <w:b/>
          <w:bCs/>
          <w:color w:val="000000"/>
          <w:sz w:val="32"/>
          <w:szCs w:val="32"/>
        </w:rPr>
        <w:t>二是</w:t>
      </w:r>
      <w:r>
        <w:rPr>
          <w:rFonts w:hint="eastAsia" w:eastAsia="仿宋_GB2312"/>
          <w:color w:val="000000"/>
          <w:sz w:val="32"/>
          <w:szCs w:val="32"/>
        </w:rPr>
        <w:t>积极研究临港新片区立法保障模式，经与市相关部门多次研讨，优先采用国家综合授权模式，同步争取经济特区立法权，适时启动地方立法工作，开展《临港新片区参照经济特区管理和法治保障路径研究》、《临港新片区法治需求研究》等课题研究，形成临港新片区参照经济特区管理实施路径方案，为新片区发展提供根本性法治保障。</w:t>
      </w:r>
    </w:p>
    <w:p>
      <w:pPr>
        <w:keepNext w:val="0"/>
        <w:keepLines w:val="0"/>
        <w:pageBreakBefore w:val="0"/>
        <w:widowControl w:val="0"/>
        <w:kinsoku/>
        <w:overflowPunct/>
        <w:topLinePunct w:val="0"/>
        <w:autoSpaceDE/>
        <w:autoSpaceDN/>
        <w:bidi w:val="0"/>
        <w:snapToGrid/>
        <w:spacing w:line="560" w:lineRule="exact"/>
        <w:ind w:firstLine="643" w:firstLineChars="200"/>
        <w:rPr>
          <w:rFonts w:eastAsia="仿宋_GB2312"/>
          <w:color w:val="000000"/>
          <w:sz w:val="32"/>
          <w:szCs w:val="32"/>
        </w:rPr>
      </w:pPr>
      <w:r>
        <w:rPr>
          <w:rFonts w:hint="eastAsia" w:ascii="楷体_GB2312" w:eastAsia="楷体_GB2312"/>
          <w:b/>
          <w:bCs/>
          <w:color w:val="000000"/>
          <w:sz w:val="32"/>
          <w:szCs w:val="32"/>
        </w:rPr>
        <w:t>（三）不断优化法治化营商环境。</w:t>
      </w:r>
      <w:r>
        <w:rPr>
          <w:rFonts w:hint="eastAsia" w:eastAsia="仿宋_GB2312"/>
          <w:b/>
          <w:bCs/>
          <w:color w:val="000000"/>
          <w:sz w:val="32"/>
          <w:szCs w:val="32"/>
        </w:rPr>
        <w:t>一是</w:t>
      </w:r>
      <w:r>
        <w:rPr>
          <w:rFonts w:hint="eastAsia" w:eastAsia="仿宋_GB2312"/>
          <w:color w:val="000000"/>
          <w:sz w:val="32"/>
          <w:szCs w:val="32"/>
        </w:rPr>
        <w:t>推动设立上海国际商事法院，市司法局发布《境外仲裁机构在临港新片区设立业务机构管理办法》，积极洽谈引入香港国际仲裁中心等境外知名仲裁机构，率先允许本地优秀律师事务所在临港新片区设立同城分所，举办全面提升临港新片区法治化营商环境系列改革创新举措发布会，揭牌启用临港新片区法律服务中心和一站式争议解决中心。截至目前，已有18家知名仲裁、调解、律所、公证、鉴定等法律服务机构签约入住，11家调解、仲裁、审判机构共同会签一站式争议解决中心共建合作协议。</w:t>
      </w:r>
      <w:r>
        <w:rPr>
          <w:rFonts w:hint="eastAsia" w:eastAsia="仿宋_GB2312"/>
          <w:b/>
          <w:bCs/>
          <w:color w:val="000000"/>
          <w:sz w:val="32"/>
          <w:szCs w:val="32"/>
        </w:rPr>
        <w:t>二是</w:t>
      </w:r>
      <w:r>
        <w:rPr>
          <w:rFonts w:hint="eastAsia" w:eastAsia="仿宋_GB2312"/>
          <w:color w:val="000000"/>
          <w:sz w:val="32"/>
          <w:szCs w:val="32"/>
        </w:rPr>
        <w:t>最高院、上海高院、市检察院、上海海事法院、市三中院、上海金融法院、上海海事法院、浦东法院等分别发布司法服务保障临港新片区的工作意见,设立上海检察机关临港新片区检察服务基地和知识产权保护中心，设立浦东法院执行局临港新片区执行工作站，加快筹建上海市三中院巡回审判点和上海金融法院派出法庭，升级改造南汇新城法庭为上海法院临港新片区集聚办公区。</w:t>
      </w:r>
      <w:r>
        <w:rPr>
          <w:rFonts w:hint="eastAsia" w:eastAsia="仿宋_GB2312"/>
          <w:b/>
          <w:bCs/>
          <w:color w:val="000000"/>
          <w:sz w:val="32"/>
          <w:szCs w:val="32"/>
        </w:rPr>
        <w:t>三是</w:t>
      </w:r>
      <w:r>
        <w:rPr>
          <w:rFonts w:hint="eastAsia" w:eastAsia="仿宋_GB2312"/>
          <w:color w:val="000000"/>
          <w:sz w:val="32"/>
          <w:szCs w:val="32"/>
        </w:rPr>
        <w:t>制定出台《中国（上海）自由贸易试验区临港新片区全面深化国际一流营商环境建设实施方案》《临港新片区商事主体登记确认制实施办法（试行）》《临港新片区企业集中登记地认定及管理办法》等优化营商环境政策文件，建立“18+N”特色营商环境指标体系，持续开展营商环境考核评估工作。</w:t>
      </w:r>
    </w:p>
    <w:p>
      <w:pPr>
        <w:keepNext w:val="0"/>
        <w:keepLines w:val="0"/>
        <w:pageBreakBefore w:val="0"/>
        <w:widowControl w:val="0"/>
        <w:kinsoku/>
        <w:overflowPunct/>
        <w:topLinePunct w:val="0"/>
        <w:autoSpaceDE/>
        <w:autoSpaceDN/>
        <w:bidi w:val="0"/>
        <w:snapToGrid/>
        <w:spacing w:line="560" w:lineRule="exact"/>
        <w:ind w:firstLine="643" w:firstLineChars="200"/>
        <w:rPr>
          <w:rFonts w:eastAsia="仿宋_GB2312"/>
          <w:sz w:val="32"/>
          <w:szCs w:val="32"/>
        </w:rPr>
      </w:pPr>
      <w:r>
        <w:rPr>
          <w:rFonts w:hint="eastAsia" w:ascii="楷体_GB2312" w:eastAsia="楷体_GB2312"/>
          <w:b/>
          <w:bCs/>
          <w:color w:val="000000"/>
          <w:sz w:val="32"/>
          <w:szCs w:val="32"/>
        </w:rPr>
        <w:t>（四）不断深化政府职能转变。</w:t>
      </w:r>
      <w:r>
        <w:rPr>
          <w:rFonts w:hint="eastAsia" w:eastAsia="仿宋_GB2312"/>
          <w:b/>
          <w:bCs/>
          <w:sz w:val="32"/>
          <w:szCs w:val="32"/>
        </w:rPr>
        <w:t>一是</w:t>
      </w:r>
      <w:r>
        <w:rPr>
          <w:rFonts w:hint="eastAsia" w:eastAsia="仿宋_GB2312"/>
          <w:sz w:val="32"/>
          <w:szCs w:val="32"/>
        </w:rPr>
        <w:t>推进两批1170项集中行使事权的下放和承接工作。截至2020年12月31日，两批集中行使事权共行政审批5365件，行政征收、行政奖励等对外管理服务事项办理134件，开展行政处罚43件、行政强制24件；在外国人来华工作许可、人力资源服务许可、中介机构从事代理记账等方面发出新片区首张许可证书。</w:t>
      </w:r>
      <w:r>
        <w:rPr>
          <w:rFonts w:hint="eastAsia" w:eastAsia="仿宋_GB2312"/>
          <w:b/>
          <w:bCs/>
          <w:sz w:val="32"/>
          <w:szCs w:val="32"/>
        </w:rPr>
        <w:t>二是</w:t>
      </w:r>
      <w:r>
        <w:rPr>
          <w:rFonts w:hint="eastAsia" w:eastAsia="仿宋_GB2312"/>
          <w:sz w:val="32"/>
          <w:szCs w:val="32"/>
        </w:rPr>
        <w:t>推进“证照分离”改革全覆盖。对照国务院和上海市发布的519项涉企经营许可事项实行清单管理，制定《临港新片区推进落实“证照分离”改革全覆盖试点工作的实施方案》，对照两批集中行使审批事权，梳理形成64项涉及“证照分离”的改革任务。其中，实行告知承诺改革25项，优化服务方式39项。</w:t>
      </w:r>
    </w:p>
    <w:p>
      <w:pPr>
        <w:keepNext w:val="0"/>
        <w:keepLines w:val="0"/>
        <w:pageBreakBefore w:val="0"/>
        <w:widowControl w:val="0"/>
        <w:kinsoku/>
        <w:overflowPunct/>
        <w:topLinePunct w:val="0"/>
        <w:autoSpaceDE/>
        <w:autoSpaceDN/>
        <w:bidi w:val="0"/>
        <w:snapToGrid/>
        <w:spacing w:line="560" w:lineRule="exact"/>
        <w:ind w:firstLine="643" w:firstLineChars="200"/>
        <w:rPr>
          <w:rFonts w:eastAsia="仿宋_GB2312"/>
          <w:color w:val="000000"/>
          <w:sz w:val="32"/>
          <w:szCs w:val="32"/>
        </w:rPr>
      </w:pPr>
      <w:r>
        <w:rPr>
          <w:rFonts w:hint="eastAsia" w:ascii="楷体_GB2312" w:eastAsia="楷体_GB2312"/>
          <w:b/>
          <w:bCs/>
          <w:color w:val="000000"/>
          <w:sz w:val="32"/>
          <w:szCs w:val="32"/>
        </w:rPr>
        <w:t>（五）不断完善行政决策、政务公开、复议诉讼机制。</w:t>
      </w:r>
      <w:r>
        <w:rPr>
          <w:rFonts w:hint="eastAsia" w:eastAsia="仿宋_GB2312"/>
          <w:b/>
          <w:bCs/>
          <w:color w:val="000000"/>
          <w:sz w:val="32"/>
          <w:szCs w:val="32"/>
        </w:rPr>
        <w:t>一是</w:t>
      </w:r>
      <w:r>
        <w:rPr>
          <w:rFonts w:hint="eastAsia" w:eastAsia="仿宋_GB2312"/>
          <w:color w:val="000000"/>
          <w:sz w:val="32"/>
          <w:szCs w:val="32"/>
        </w:rPr>
        <w:t>认真贯彻执行《上海市重大行政决策程序规定》及7个配套文件精神，年初征求各部门意见，建立并公布重大行政决策事项目录，共计14项，基本履行目录管理、公众参与、专家咨询、风险评估、合法性审查及决策后评估等程序。</w:t>
      </w:r>
      <w:r>
        <w:rPr>
          <w:rFonts w:hint="eastAsia" w:eastAsia="仿宋_GB2312"/>
          <w:b/>
          <w:bCs/>
          <w:color w:val="000000"/>
          <w:sz w:val="32"/>
          <w:szCs w:val="32"/>
        </w:rPr>
        <w:t>二是</w:t>
      </w:r>
      <w:r>
        <w:rPr>
          <w:rFonts w:hint="eastAsia" w:eastAsia="仿宋_GB2312"/>
          <w:color w:val="000000"/>
          <w:sz w:val="32"/>
          <w:szCs w:val="32"/>
        </w:rPr>
        <w:t>加大政务公开力度，充分利用新媒体、政府门户网站、新闻发布会等渠道和形式，运用图表图解、流程演示等解读形式对20余份政策性文件进行解读。</w:t>
      </w:r>
      <w:r>
        <w:rPr>
          <w:rFonts w:hint="eastAsia" w:eastAsia="仿宋_GB2312"/>
          <w:b/>
          <w:bCs/>
          <w:color w:val="000000"/>
          <w:sz w:val="32"/>
          <w:szCs w:val="32"/>
        </w:rPr>
        <w:t>三是</w:t>
      </w:r>
      <w:r>
        <w:rPr>
          <w:rFonts w:hint="eastAsia" w:eastAsia="仿宋_GB2312"/>
          <w:color w:val="000000"/>
          <w:sz w:val="32"/>
          <w:szCs w:val="32"/>
        </w:rPr>
        <w:t>建立健全复议诉讼工作机制，组织部门负责人现场观摩行政诉讼案件庭审，安排行政机关负责人严格按照规定出庭应诉，切实强化领导干部依法行政意识。</w:t>
      </w:r>
    </w:p>
    <w:p>
      <w:pPr>
        <w:keepNext w:val="0"/>
        <w:keepLines w:val="0"/>
        <w:pageBreakBefore w:val="0"/>
        <w:widowControl w:val="0"/>
        <w:kinsoku/>
        <w:overflowPunct/>
        <w:topLinePunct w:val="0"/>
        <w:autoSpaceDE/>
        <w:autoSpaceDN/>
        <w:bidi w:val="0"/>
        <w:snapToGrid/>
        <w:spacing w:line="560" w:lineRule="exact"/>
        <w:ind w:firstLine="643" w:firstLineChars="200"/>
        <w:rPr>
          <w:rFonts w:eastAsia="仿宋_GB2312"/>
          <w:color w:val="000000"/>
          <w:sz w:val="32"/>
          <w:szCs w:val="32"/>
        </w:rPr>
      </w:pPr>
      <w:r>
        <w:rPr>
          <w:rFonts w:hint="eastAsia" w:ascii="楷体_GB2312" w:eastAsia="楷体_GB2312"/>
          <w:b/>
          <w:bCs/>
          <w:color w:val="000000"/>
          <w:sz w:val="32"/>
          <w:szCs w:val="32"/>
        </w:rPr>
        <w:t>（六）不断加强行政规范性文件管理。</w:t>
      </w:r>
      <w:r>
        <w:rPr>
          <w:rFonts w:hint="eastAsia" w:eastAsia="仿宋_GB2312"/>
          <w:b/>
          <w:bCs/>
          <w:color w:val="000000"/>
          <w:sz w:val="32"/>
          <w:szCs w:val="32"/>
        </w:rPr>
        <w:t>一是</w:t>
      </w:r>
      <w:r>
        <w:rPr>
          <w:rFonts w:hint="eastAsia" w:eastAsia="仿宋_GB2312"/>
          <w:color w:val="000000"/>
          <w:sz w:val="32"/>
          <w:szCs w:val="32"/>
        </w:rPr>
        <w:t>严格按照《临港新片区管委会行政规范性文件管理规定》，落实规范性文件起草、调研评估论证、听取意见、公开征询社会公众意见、合法性审核、集体审议、公布等制定程序。今年，共制定规范性文件9件，已完成备案9件。</w:t>
      </w:r>
      <w:r>
        <w:rPr>
          <w:rFonts w:hint="eastAsia" w:eastAsia="仿宋_GB2312"/>
          <w:b/>
          <w:bCs/>
          <w:color w:val="000000"/>
          <w:sz w:val="32"/>
          <w:szCs w:val="32"/>
        </w:rPr>
        <w:t>二是</w:t>
      </w:r>
      <w:r>
        <w:rPr>
          <w:rFonts w:hint="eastAsia" w:eastAsia="仿宋_GB2312"/>
          <w:color w:val="000000"/>
          <w:sz w:val="32"/>
          <w:szCs w:val="32"/>
        </w:rPr>
        <w:t>对规范性文件合法性审核坚持有备必审、有错必纠的原则，建立合法性审核台账，统一文书格式。在审核规范性文件时，重点审核规范性文件制定是否超越制定机关法定职权、是否符合宪法、法律、法规、规章和国家政策规定等问题，对审核中发现的问题，依法提出修改意见，对市政府办公厅法律事务处的备案意见及时纠正。</w:t>
      </w:r>
      <w:r>
        <w:rPr>
          <w:rFonts w:hint="eastAsia" w:eastAsia="仿宋_GB2312"/>
          <w:b/>
          <w:bCs/>
          <w:color w:val="000000"/>
          <w:sz w:val="32"/>
          <w:szCs w:val="32"/>
        </w:rPr>
        <w:t>三是</w:t>
      </w:r>
      <w:r>
        <w:rPr>
          <w:rFonts w:hint="eastAsia" w:eastAsia="仿宋_GB2312"/>
          <w:color w:val="000000"/>
          <w:sz w:val="32"/>
          <w:szCs w:val="32"/>
        </w:rPr>
        <w:t>建立完善规范性文件统一登记、统一编号、统一印发“三统一”制度，严格执行规范性文件备案审核制度，做到在规范性文件公布之日起15个工作日内向市政府书面报送备案材料，并在网上平台同步报送。</w:t>
      </w:r>
    </w:p>
    <w:p>
      <w:pPr>
        <w:keepNext w:val="0"/>
        <w:keepLines w:val="0"/>
        <w:pageBreakBefore w:val="0"/>
        <w:widowControl w:val="0"/>
        <w:kinsoku/>
        <w:overflowPunct/>
        <w:topLinePunct w:val="0"/>
        <w:autoSpaceDE/>
        <w:autoSpaceDN/>
        <w:bidi w:val="0"/>
        <w:snapToGrid/>
        <w:spacing w:line="560" w:lineRule="exact"/>
        <w:ind w:firstLine="643" w:firstLineChars="200"/>
        <w:rPr>
          <w:rFonts w:eastAsia="仿宋_GB2312"/>
          <w:color w:val="000000"/>
          <w:sz w:val="32"/>
          <w:szCs w:val="32"/>
        </w:rPr>
      </w:pPr>
      <w:r>
        <w:rPr>
          <w:rFonts w:hint="eastAsia" w:ascii="楷体_GB2312" w:eastAsia="楷体_GB2312"/>
          <w:b/>
          <w:bCs/>
          <w:color w:val="000000"/>
          <w:sz w:val="32"/>
          <w:szCs w:val="32"/>
        </w:rPr>
        <w:t>（七）不断提升严格规范公正文明执法水平。</w:t>
      </w:r>
      <w:r>
        <w:rPr>
          <w:rFonts w:hint="eastAsia" w:eastAsia="仿宋_GB2312"/>
          <w:b/>
          <w:bCs/>
          <w:color w:val="000000"/>
          <w:sz w:val="32"/>
          <w:szCs w:val="32"/>
        </w:rPr>
        <w:t>一是</w:t>
      </w:r>
      <w:r>
        <w:rPr>
          <w:rFonts w:hint="eastAsia" w:eastAsia="仿宋_GB2312"/>
          <w:color w:val="000000"/>
          <w:sz w:val="32"/>
          <w:szCs w:val="32"/>
        </w:rPr>
        <w:t>根据上海市全面推行“三项制度”实施方案精神，细化行政执法公示，执法全过程记录和重大行政执法决定法制审核的内容、范围、程序、方式，强化执法队伍建设，提升队伍法治思维和能力。</w:t>
      </w:r>
      <w:r>
        <w:rPr>
          <w:rFonts w:hint="eastAsia" w:eastAsia="仿宋_GB2312"/>
          <w:b/>
          <w:bCs/>
          <w:color w:val="000000"/>
          <w:sz w:val="32"/>
          <w:szCs w:val="32"/>
        </w:rPr>
        <w:t>二是</w:t>
      </w:r>
      <w:r>
        <w:rPr>
          <w:rFonts w:hint="eastAsia" w:eastAsia="仿宋_GB2312"/>
          <w:color w:val="000000"/>
          <w:sz w:val="32"/>
          <w:szCs w:val="32"/>
        </w:rPr>
        <w:t>组织行政执法人员培训考试及做好证件办理工作。根据《上海市人民政府关于进一步规范和加强行政执法工作的意见》和《上海市行政执法证管理办法》的要求，今年，共组织48名管委会工作人员参加执法证培训考试，申请新办执法证76件，申请罚没款组织代码2次。</w:t>
      </w:r>
    </w:p>
    <w:p>
      <w:pPr>
        <w:keepNext w:val="0"/>
        <w:keepLines w:val="0"/>
        <w:pageBreakBefore w:val="0"/>
        <w:widowControl w:val="0"/>
        <w:kinsoku/>
        <w:overflowPunct/>
        <w:topLinePunct w:val="0"/>
        <w:autoSpaceDE/>
        <w:autoSpaceDN/>
        <w:bidi w:val="0"/>
        <w:snapToGrid/>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二、存在的问题和不足</w:t>
      </w:r>
    </w:p>
    <w:p>
      <w:pPr>
        <w:keepNext w:val="0"/>
        <w:keepLines w:val="0"/>
        <w:pageBreakBefore w:val="0"/>
        <w:widowControl w:val="0"/>
        <w:kinsoku/>
        <w:overflowPunct/>
        <w:topLinePunct w:val="0"/>
        <w:autoSpaceDE/>
        <w:autoSpaceDN/>
        <w:bidi w:val="0"/>
        <w:snapToGrid/>
        <w:spacing w:line="560" w:lineRule="exact"/>
        <w:ind w:firstLine="640" w:firstLineChars="200"/>
        <w:rPr>
          <w:rFonts w:eastAsia="仿宋_GB2312"/>
          <w:color w:val="000000"/>
          <w:sz w:val="32"/>
          <w:szCs w:val="32"/>
        </w:rPr>
      </w:pPr>
      <w:r>
        <w:rPr>
          <w:rFonts w:hint="eastAsia" w:eastAsia="仿宋_GB2312"/>
          <w:color w:val="000000"/>
          <w:sz w:val="32"/>
          <w:szCs w:val="32"/>
        </w:rPr>
        <w:t>2020年是临港新片区管委会成立的第一个完整年，各部门推进法治政府建设工作情况总体良好，但也存在一些不足之处。</w:t>
      </w:r>
      <w:r>
        <w:rPr>
          <w:rFonts w:hint="eastAsia" w:eastAsia="仿宋_GB2312"/>
          <w:b/>
          <w:bCs/>
          <w:color w:val="000000"/>
          <w:sz w:val="32"/>
          <w:szCs w:val="32"/>
        </w:rPr>
        <w:t>一是</w:t>
      </w:r>
      <w:r>
        <w:rPr>
          <w:rFonts w:hint="eastAsia" w:eastAsia="仿宋_GB2312"/>
          <w:color w:val="000000"/>
          <w:sz w:val="32"/>
          <w:szCs w:val="32"/>
        </w:rPr>
        <w:t>政府法治水平和所承担的事务不够匹配，法制审核人员和执法人员的法治观念和工作水平有待进一步提升。</w:t>
      </w:r>
      <w:r>
        <w:rPr>
          <w:rFonts w:hint="eastAsia" w:eastAsia="仿宋_GB2312"/>
          <w:b/>
          <w:bCs/>
          <w:color w:val="000000"/>
          <w:sz w:val="32"/>
          <w:szCs w:val="32"/>
        </w:rPr>
        <w:t>二是</w:t>
      </w:r>
      <w:r>
        <w:rPr>
          <w:rFonts w:hint="eastAsia" w:eastAsia="仿宋_GB2312"/>
          <w:color w:val="000000"/>
          <w:sz w:val="32"/>
          <w:szCs w:val="32"/>
        </w:rPr>
        <w:t>重大行政决策程序规定尚未全面落实，个别部门对重大行政决策事项范围界定不够清晰，公众参与、风险评估、合法性审查等环节执行不够到位。</w:t>
      </w:r>
      <w:r>
        <w:rPr>
          <w:rFonts w:hint="eastAsia" w:eastAsia="仿宋_GB2312"/>
          <w:b/>
          <w:bCs/>
          <w:color w:val="000000"/>
          <w:sz w:val="32"/>
          <w:szCs w:val="32"/>
        </w:rPr>
        <w:t>三是</w:t>
      </w:r>
      <w:r>
        <w:rPr>
          <w:rFonts w:hint="eastAsia" w:eastAsia="仿宋_GB2312"/>
          <w:color w:val="000000"/>
          <w:sz w:val="32"/>
          <w:szCs w:val="32"/>
        </w:rPr>
        <w:t>行政执法规范化和精细化程度有待提升，行政事权下放体制机制仍需继续深化，部分管理部门、执法部门的职责边界尚未完全厘清。</w:t>
      </w:r>
    </w:p>
    <w:p>
      <w:pPr>
        <w:keepNext w:val="0"/>
        <w:keepLines w:val="0"/>
        <w:pageBreakBefore w:val="0"/>
        <w:widowControl w:val="0"/>
        <w:kinsoku/>
        <w:overflowPunct/>
        <w:topLinePunct w:val="0"/>
        <w:autoSpaceDE/>
        <w:autoSpaceDN/>
        <w:bidi w:val="0"/>
        <w:snapToGrid/>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三、2021年工作要点</w:t>
      </w:r>
    </w:p>
    <w:p>
      <w:pPr>
        <w:keepNext w:val="0"/>
        <w:keepLines w:val="0"/>
        <w:pageBreakBefore w:val="0"/>
        <w:widowControl w:val="0"/>
        <w:kinsoku/>
        <w:overflowPunct/>
        <w:topLinePunct w:val="0"/>
        <w:autoSpaceDE/>
        <w:autoSpaceDN/>
        <w:bidi w:val="0"/>
        <w:snapToGrid/>
        <w:spacing w:line="560" w:lineRule="exact"/>
        <w:ind w:firstLine="640" w:firstLineChars="200"/>
        <w:rPr>
          <w:rFonts w:eastAsia="仿宋_GB2312"/>
          <w:color w:val="000000"/>
          <w:sz w:val="32"/>
          <w:szCs w:val="32"/>
        </w:rPr>
      </w:pPr>
      <w:r>
        <w:rPr>
          <w:rFonts w:hint="eastAsia" w:eastAsia="仿宋_GB2312"/>
          <w:color w:val="000000"/>
          <w:sz w:val="32"/>
          <w:szCs w:val="32"/>
        </w:rPr>
        <w:t>2021年是</w:t>
      </w:r>
      <w:r>
        <w:rPr>
          <w:rFonts w:hint="eastAsia" w:eastAsia="仿宋_GB2312"/>
          <w:color w:val="000000"/>
          <w:sz w:val="32"/>
          <w:szCs w:val="32"/>
          <w:lang w:eastAsia="zh-CN"/>
        </w:rPr>
        <w:t>中国共产党成立100周年</w:t>
      </w:r>
      <w:bookmarkStart w:id="1" w:name="_GoBack"/>
      <w:bookmarkEnd w:id="1"/>
      <w:r>
        <w:rPr>
          <w:rFonts w:hint="eastAsia" w:eastAsia="仿宋_GB2312"/>
          <w:color w:val="000000"/>
          <w:sz w:val="32"/>
          <w:szCs w:val="32"/>
        </w:rPr>
        <w:t>，是全面建成小康社会后迈向全面建设社会主义现代化国家征程的第一年，是“十四五”法治政府建设开局之年，做好本市法治政府建设工作，意义十分重大。临港新片区管委会将按照市委市政府决策部署要求，深入推动法治政府建设各项工作，不断取得法治政府建设新的突破。</w:t>
      </w:r>
    </w:p>
    <w:p>
      <w:pPr>
        <w:keepNext w:val="0"/>
        <w:keepLines w:val="0"/>
        <w:pageBreakBefore w:val="0"/>
        <w:widowControl w:val="0"/>
        <w:kinsoku/>
        <w:overflowPunct/>
        <w:topLinePunct w:val="0"/>
        <w:autoSpaceDE/>
        <w:autoSpaceDN/>
        <w:bidi w:val="0"/>
        <w:snapToGrid/>
        <w:spacing w:line="560" w:lineRule="exact"/>
        <w:ind w:firstLine="643" w:firstLineChars="200"/>
        <w:rPr>
          <w:rFonts w:eastAsia="仿宋_GB2312"/>
          <w:sz w:val="32"/>
          <w:szCs w:val="32"/>
        </w:rPr>
      </w:pPr>
      <w:r>
        <w:rPr>
          <w:rFonts w:hint="eastAsia" w:ascii="楷体_GB2312" w:eastAsia="楷体_GB2312"/>
          <w:b/>
          <w:bCs/>
          <w:color w:val="000000"/>
          <w:sz w:val="32"/>
          <w:szCs w:val="32"/>
        </w:rPr>
        <w:t>（一）加强临港新片区建设法治保障。</w:t>
      </w:r>
      <w:r>
        <w:rPr>
          <w:rFonts w:hint="eastAsia" w:eastAsia="仿宋_GB2312"/>
          <w:color w:val="000000"/>
          <w:sz w:val="32"/>
          <w:szCs w:val="32"/>
        </w:rPr>
        <w:t>研</w:t>
      </w:r>
      <w:r>
        <w:rPr>
          <w:rFonts w:hint="eastAsia" w:eastAsia="仿宋_GB2312"/>
          <w:sz w:val="32"/>
          <w:szCs w:val="32"/>
        </w:rPr>
        <w:t>究中国（上海）自由贸易试验区临港新片区条例和洋山特殊综合保税区管理办法的制定或修改工作，为政策制度创新、特殊功能打造、现代化新城建设等提供有效法制支撑。</w:t>
      </w:r>
    </w:p>
    <w:p>
      <w:pPr>
        <w:keepNext w:val="0"/>
        <w:keepLines w:val="0"/>
        <w:pageBreakBefore w:val="0"/>
        <w:widowControl w:val="0"/>
        <w:kinsoku/>
        <w:overflowPunct/>
        <w:topLinePunct w:val="0"/>
        <w:autoSpaceDE/>
        <w:autoSpaceDN/>
        <w:bidi w:val="0"/>
        <w:snapToGrid/>
        <w:spacing w:line="560" w:lineRule="exact"/>
        <w:ind w:firstLine="643" w:firstLineChars="200"/>
        <w:rPr>
          <w:rFonts w:eastAsia="仿宋_GB2312"/>
          <w:color w:val="000000"/>
          <w:sz w:val="32"/>
          <w:szCs w:val="32"/>
        </w:rPr>
      </w:pPr>
      <w:r>
        <w:rPr>
          <w:rFonts w:hint="eastAsia" w:ascii="楷体_GB2312" w:eastAsia="楷体_GB2312"/>
          <w:b/>
          <w:bCs/>
          <w:color w:val="000000"/>
          <w:sz w:val="32"/>
          <w:szCs w:val="32"/>
        </w:rPr>
        <w:t>（二）深化法治化营商环境建设。</w:t>
      </w:r>
      <w:r>
        <w:rPr>
          <w:rFonts w:hint="eastAsia" w:eastAsia="仿宋_GB2312"/>
          <w:color w:val="000000"/>
          <w:sz w:val="32"/>
          <w:szCs w:val="32"/>
        </w:rPr>
        <w:t>进一步发挥优化营商环境法治保障共同体作用，加大对市场主体反映突出的各类涉法问题的研究解决力度。</w:t>
      </w:r>
    </w:p>
    <w:p>
      <w:pPr>
        <w:keepNext w:val="0"/>
        <w:keepLines w:val="0"/>
        <w:pageBreakBefore w:val="0"/>
        <w:widowControl w:val="0"/>
        <w:kinsoku/>
        <w:overflowPunct/>
        <w:topLinePunct w:val="0"/>
        <w:autoSpaceDE/>
        <w:autoSpaceDN/>
        <w:bidi w:val="0"/>
        <w:snapToGrid/>
        <w:spacing w:line="560" w:lineRule="exact"/>
        <w:ind w:firstLine="643" w:firstLineChars="200"/>
        <w:rPr>
          <w:rFonts w:eastAsia="仿宋_GB2312"/>
          <w:color w:val="000000"/>
          <w:sz w:val="32"/>
          <w:szCs w:val="32"/>
        </w:rPr>
      </w:pPr>
      <w:r>
        <w:rPr>
          <w:rFonts w:hint="eastAsia" w:ascii="楷体_GB2312" w:eastAsia="楷体_GB2312"/>
          <w:b/>
          <w:bCs/>
          <w:color w:val="000000"/>
          <w:sz w:val="32"/>
          <w:szCs w:val="32"/>
        </w:rPr>
        <w:t>（三）深化行政审批制度改革。</w:t>
      </w:r>
      <w:r>
        <w:rPr>
          <w:rFonts w:hint="eastAsia" w:eastAsia="仿宋_GB2312"/>
          <w:color w:val="000000"/>
          <w:sz w:val="32"/>
          <w:szCs w:val="32"/>
        </w:rPr>
        <w:t>落实本市“证照分离”改革和国务院新增一批“证照分离”改革事项，落实浦东新区31个行业“一业一证”在临港新片区试点办理。</w:t>
      </w:r>
    </w:p>
    <w:p>
      <w:pPr>
        <w:keepNext w:val="0"/>
        <w:keepLines w:val="0"/>
        <w:pageBreakBefore w:val="0"/>
        <w:widowControl w:val="0"/>
        <w:kinsoku/>
        <w:overflowPunct/>
        <w:topLinePunct w:val="0"/>
        <w:autoSpaceDE/>
        <w:autoSpaceDN/>
        <w:bidi w:val="0"/>
        <w:snapToGrid/>
        <w:spacing w:line="560" w:lineRule="exact"/>
        <w:ind w:firstLine="643" w:firstLineChars="200"/>
        <w:rPr>
          <w:rFonts w:eastAsia="仿宋_GB2312"/>
          <w:color w:val="000000"/>
          <w:sz w:val="32"/>
          <w:szCs w:val="32"/>
        </w:rPr>
      </w:pPr>
      <w:r>
        <w:rPr>
          <w:rFonts w:hint="eastAsia" w:ascii="楷体_GB2312" w:eastAsia="楷体_GB2312"/>
          <w:b/>
          <w:bCs/>
          <w:color w:val="000000"/>
          <w:sz w:val="32"/>
          <w:szCs w:val="32"/>
        </w:rPr>
        <w:t>（四）全面落实重大行政决策程序规定。</w:t>
      </w:r>
      <w:r>
        <w:rPr>
          <w:rFonts w:hint="eastAsia" w:eastAsia="仿宋_GB2312"/>
          <w:color w:val="000000"/>
          <w:sz w:val="32"/>
          <w:szCs w:val="32"/>
        </w:rPr>
        <w:t>严格落实《上海市重大行政决策程序规定》及7个配套文件，规范完善重大行政决策程序，提高决策质量和效率。制定发布2021年管委会重大行政决策事项目录。</w:t>
      </w:r>
    </w:p>
    <w:p>
      <w:pPr>
        <w:keepNext w:val="0"/>
        <w:keepLines w:val="0"/>
        <w:pageBreakBefore w:val="0"/>
        <w:widowControl w:val="0"/>
        <w:kinsoku/>
        <w:overflowPunct/>
        <w:topLinePunct w:val="0"/>
        <w:autoSpaceDE/>
        <w:autoSpaceDN/>
        <w:bidi w:val="0"/>
        <w:snapToGrid/>
        <w:spacing w:line="560" w:lineRule="exact"/>
        <w:ind w:firstLine="643" w:firstLineChars="200"/>
        <w:rPr>
          <w:rFonts w:eastAsia="仿宋_GB2312"/>
          <w:b/>
          <w:bCs/>
          <w:color w:val="000000"/>
          <w:sz w:val="32"/>
          <w:szCs w:val="32"/>
        </w:rPr>
      </w:pPr>
      <w:r>
        <w:rPr>
          <w:rFonts w:hint="eastAsia" w:ascii="楷体_GB2312" w:eastAsia="楷体_GB2312"/>
          <w:b/>
          <w:bCs/>
          <w:color w:val="000000"/>
          <w:sz w:val="32"/>
          <w:szCs w:val="32"/>
        </w:rPr>
        <w:t>（五）深化政务公开工作。</w:t>
      </w:r>
      <w:r>
        <w:rPr>
          <w:rFonts w:hint="eastAsia" w:eastAsia="仿宋_GB2312"/>
          <w:color w:val="000000"/>
          <w:sz w:val="32"/>
          <w:szCs w:val="32"/>
        </w:rPr>
        <w:t>优化调整政务公开全领域标准化规范化目录，确保标准目录对重点业务工作的全覆盖、无遗漏，及时发布相关信息，回应社会关切。</w:t>
      </w:r>
    </w:p>
    <w:p>
      <w:pPr>
        <w:keepNext w:val="0"/>
        <w:keepLines w:val="0"/>
        <w:pageBreakBefore w:val="0"/>
        <w:widowControl w:val="0"/>
        <w:kinsoku/>
        <w:overflowPunct/>
        <w:topLinePunct w:val="0"/>
        <w:autoSpaceDE/>
        <w:autoSpaceDN/>
        <w:bidi w:val="0"/>
        <w:snapToGrid/>
        <w:spacing w:line="560" w:lineRule="exact"/>
        <w:ind w:firstLine="643" w:firstLineChars="200"/>
        <w:rPr>
          <w:rFonts w:eastAsia="仿宋_GB2312"/>
          <w:b/>
          <w:bCs/>
          <w:color w:val="000000"/>
          <w:sz w:val="32"/>
          <w:szCs w:val="32"/>
        </w:rPr>
      </w:pPr>
      <w:r>
        <w:rPr>
          <w:rFonts w:hint="eastAsia" w:ascii="楷体_GB2312" w:eastAsia="楷体_GB2312"/>
          <w:b/>
          <w:bCs/>
          <w:color w:val="000000"/>
          <w:sz w:val="32"/>
          <w:szCs w:val="32"/>
        </w:rPr>
        <w:t>（六）加强行政应诉工作。</w:t>
      </w:r>
      <w:r>
        <w:rPr>
          <w:rFonts w:hint="eastAsia" w:eastAsia="仿宋_GB2312"/>
          <w:color w:val="000000"/>
          <w:sz w:val="32"/>
          <w:szCs w:val="32"/>
        </w:rPr>
        <w:t>提高行政机关负责人出庭应诉率，提升出庭应诉水平做到“既出庭又出声”，积极参加出庭、应诉、讲评“三合一”活动。</w:t>
      </w:r>
    </w:p>
    <w:p>
      <w:pPr>
        <w:keepNext w:val="0"/>
        <w:keepLines w:val="0"/>
        <w:pageBreakBefore w:val="0"/>
        <w:widowControl w:val="0"/>
        <w:kinsoku/>
        <w:overflowPunct/>
        <w:topLinePunct w:val="0"/>
        <w:autoSpaceDE/>
        <w:autoSpaceDN/>
        <w:bidi w:val="0"/>
        <w:snapToGrid/>
        <w:spacing w:line="560" w:lineRule="exact"/>
        <w:ind w:firstLine="643" w:firstLineChars="200"/>
        <w:rPr>
          <w:rFonts w:eastAsia="仿宋_GB2312"/>
          <w:b/>
          <w:bCs/>
          <w:color w:val="000000"/>
          <w:sz w:val="32"/>
          <w:szCs w:val="32"/>
        </w:rPr>
      </w:pPr>
      <w:r>
        <w:rPr>
          <w:rFonts w:hint="eastAsia" w:ascii="楷体_GB2312" w:eastAsia="楷体_GB2312"/>
          <w:b/>
          <w:bCs/>
          <w:color w:val="000000"/>
          <w:sz w:val="32"/>
          <w:szCs w:val="32"/>
        </w:rPr>
        <w:t>（七）加强行政规范性文件管理工作。</w:t>
      </w:r>
      <w:r>
        <w:rPr>
          <w:rFonts w:hint="eastAsia" w:eastAsia="仿宋_GB2312"/>
          <w:color w:val="000000"/>
          <w:sz w:val="32"/>
          <w:szCs w:val="32"/>
        </w:rPr>
        <w:t>加强对各部门规范性文件管理工作的指导和监督，加强合法性审查，提高规范性文件制定质量。根据民法典及新修订法律要求，及时清理规范性文件。</w:t>
      </w:r>
    </w:p>
    <w:p>
      <w:pPr>
        <w:keepNext w:val="0"/>
        <w:keepLines w:val="0"/>
        <w:pageBreakBefore w:val="0"/>
        <w:widowControl w:val="0"/>
        <w:kinsoku/>
        <w:overflowPunct/>
        <w:topLinePunct w:val="0"/>
        <w:autoSpaceDE/>
        <w:autoSpaceDN/>
        <w:bidi w:val="0"/>
        <w:snapToGrid/>
        <w:spacing w:line="560" w:lineRule="exact"/>
        <w:ind w:firstLine="643" w:firstLineChars="200"/>
        <w:rPr>
          <w:rFonts w:eastAsia="仿宋_GB2312"/>
          <w:color w:val="000000"/>
          <w:sz w:val="32"/>
          <w:szCs w:val="32"/>
        </w:rPr>
      </w:pPr>
      <w:r>
        <w:rPr>
          <w:rFonts w:hint="eastAsia" w:ascii="楷体_GB2312" w:eastAsia="楷体_GB2312"/>
          <w:b/>
          <w:bCs/>
          <w:color w:val="000000"/>
          <w:sz w:val="32"/>
          <w:szCs w:val="32"/>
        </w:rPr>
        <w:t>（八）全面落实行政执法“三项制度”。</w:t>
      </w:r>
      <w:r>
        <w:rPr>
          <w:rFonts w:hint="eastAsia" w:eastAsia="仿宋_GB2312"/>
          <w:color w:val="000000"/>
          <w:sz w:val="32"/>
          <w:szCs w:val="32"/>
        </w:rPr>
        <w:t>根据上海市全面推行“三项制度”实施方案，细化行政执法公示，执法全过程记录和重大行政执法决定法制审核的内容、范围、程序、方式等，着力做好事前、事中、事后的执法公示，形成法制审核目录清单，建立行政处罚听证程序规定，开展案卷评查工作，配合市司法局完成执法证件的统一换发工作。</w:t>
      </w:r>
    </w:p>
    <w:p>
      <w:pPr>
        <w:keepNext w:val="0"/>
        <w:keepLines w:val="0"/>
        <w:pageBreakBefore w:val="0"/>
        <w:widowControl w:val="0"/>
        <w:kinsoku/>
        <w:overflowPunct/>
        <w:topLinePunct w:val="0"/>
        <w:autoSpaceDE/>
        <w:autoSpaceDN/>
        <w:bidi w:val="0"/>
        <w:snapToGrid/>
        <w:spacing w:line="560" w:lineRule="exact"/>
        <w:ind w:firstLine="640" w:firstLineChars="200"/>
        <w:rPr>
          <w:rFonts w:eastAsia="仿宋_GB2312"/>
          <w:color w:val="000000"/>
          <w:sz w:val="32"/>
          <w:szCs w:val="32"/>
        </w:rPr>
      </w:pPr>
    </w:p>
    <w:p>
      <w:pPr>
        <w:keepNext w:val="0"/>
        <w:keepLines w:val="0"/>
        <w:pageBreakBefore w:val="0"/>
        <w:widowControl w:val="0"/>
        <w:kinsoku/>
        <w:overflowPunct/>
        <w:topLinePunct w:val="0"/>
        <w:autoSpaceDE/>
        <w:autoSpaceDN/>
        <w:bidi w:val="0"/>
        <w:snapToGrid/>
        <w:spacing w:line="560" w:lineRule="exact"/>
        <w:ind w:firstLine="640" w:firstLineChars="200"/>
        <w:rPr>
          <w:rFonts w:eastAsia="仿宋_GB2312"/>
          <w:color w:val="000000"/>
          <w:sz w:val="32"/>
          <w:szCs w:val="32"/>
        </w:rPr>
      </w:pPr>
    </w:p>
    <w:p>
      <w:pPr>
        <w:keepNext w:val="0"/>
        <w:keepLines w:val="0"/>
        <w:pageBreakBefore w:val="0"/>
        <w:widowControl w:val="0"/>
        <w:kinsoku/>
        <w:overflowPunct/>
        <w:topLinePunct w:val="0"/>
        <w:autoSpaceDE/>
        <w:autoSpaceDN/>
        <w:bidi w:val="0"/>
        <w:snapToGrid/>
        <w:spacing w:line="560" w:lineRule="exact"/>
        <w:ind w:firstLine="640" w:firstLineChars="200"/>
        <w:rPr>
          <w:rFonts w:eastAsia="仿宋_GB2312"/>
          <w:color w:val="000000"/>
          <w:sz w:val="32"/>
          <w:szCs w:val="32"/>
        </w:rPr>
      </w:pPr>
    </w:p>
    <w:p>
      <w:pPr>
        <w:keepNext w:val="0"/>
        <w:keepLines w:val="0"/>
        <w:pageBreakBefore w:val="0"/>
        <w:widowControl w:val="0"/>
        <w:kinsoku/>
        <w:overflowPunct/>
        <w:topLinePunct w:val="0"/>
        <w:autoSpaceDE/>
        <w:autoSpaceDN/>
        <w:bidi w:val="0"/>
        <w:snapToGrid/>
        <w:spacing w:line="560" w:lineRule="exact"/>
        <w:ind w:firstLine="640" w:firstLineChars="200"/>
        <w:rPr>
          <w:rFonts w:eastAsia="仿宋_GB2312"/>
          <w:color w:val="000000"/>
          <w:sz w:val="32"/>
          <w:szCs w:val="32"/>
        </w:rPr>
      </w:pPr>
    </w:p>
    <w:p>
      <w:pPr>
        <w:keepNext w:val="0"/>
        <w:keepLines w:val="0"/>
        <w:pageBreakBefore w:val="0"/>
        <w:widowControl w:val="0"/>
        <w:kinsoku/>
        <w:overflowPunct/>
        <w:topLinePunct w:val="0"/>
        <w:autoSpaceDE/>
        <w:autoSpaceDN/>
        <w:bidi w:val="0"/>
        <w:snapToGrid/>
        <w:spacing w:line="560" w:lineRule="exact"/>
        <w:ind w:firstLine="1600" w:firstLineChars="500"/>
        <w:jc w:val="both"/>
        <w:rPr>
          <w:rFonts w:ascii="仿宋_GB2312" w:eastAsia="仿宋_GB2312"/>
          <w:sz w:val="32"/>
        </w:rPr>
      </w:pPr>
      <w:r>
        <w:rPr>
          <w:rFonts w:hint="eastAsia" w:ascii="仿宋_GB2312" w:eastAsia="仿宋_GB2312"/>
          <w:sz w:val="32"/>
        </w:rPr>
        <w:t>中国（上海）自由贸易试验区临港新片区管理委员会</w:t>
      </w:r>
    </w:p>
    <w:p>
      <w:pPr>
        <w:keepNext w:val="0"/>
        <w:keepLines w:val="0"/>
        <w:pageBreakBefore w:val="0"/>
        <w:widowControl w:val="0"/>
        <w:kinsoku/>
        <w:wordWrap w:val="0"/>
        <w:overflowPunct/>
        <w:topLinePunct w:val="0"/>
        <w:autoSpaceDE/>
        <w:autoSpaceDN/>
        <w:bidi w:val="0"/>
        <w:adjustRightInd w:val="0"/>
        <w:snapToGrid/>
        <w:spacing w:line="560" w:lineRule="exact"/>
        <w:ind w:right="31" w:rightChars="15"/>
        <w:jc w:val="right"/>
        <w:textAlignment w:val="baseline"/>
        <w:rPr>
          <w:rFonts w:eastAsia="仿宋_GB2312"/>
          <w:color w:val="000000"/>
          <w:sz w:val="32"/>
          <w:szCs w:val="32"/>
        </w:rPr>
      </w:pPr>
      <w:r>
        <w:rPr>
          <w:rFonts w:hint="eastAsia" w:ascii="仿宋_GB2312" w:eastAsia="仿宋_GB2312"/>
          <w:sz w:val="32"/>
          <w:szCs w:val="32"/>
        </w:rPr>
        <w:t>2021年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 xml:space="preserve">日    </w:t>
      </w:r>
    </w:p>
    <w:sectPr>
      <w:footerReference r:id="rId5" w:type="first"/>
      <w:footerReference r:id="rId3" w:type="default"/>
      <w:footerReference r:id="rId4" w:type="even"/>
      <w:pgSz w:w="11906" w:h="16838"/>
      <w:pgMar w:top="2098" w:right="1531" w:bottom="1984"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873947"/>
    </w:sdtPr>
    <w:sdtEndPr>
      <w:rPr>
        <w:sz w:val="21"/>
        <w:szCs w:val="21"/>
      </w:rPr>
    </w:sdtEndPr>
    <w:sdtContent>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w:t>
        </w:r>
        <w:r>
          <w:rPr>
            <w:sz w:val="21"/>
            <w:szCs w:val="21"/>
          </w:rPr>
          <w:fldChar w:fldCharType="end"/>
        </w:r>
      </w:p>
    </w:sdtContent>
  </w:sdt>
  <w:p>
    <w:pPr>
      <w:pStyle w:val="5"/>
      <w:ind w:right="360"/>
      <w:rPr>
        <w:rFonts w:asciiTheme="minorEastAsia" w:hAnsiTheme="minorEastAsia"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158" w:y="32"/>
      <w:rPr>
        <w:rStyle w:val="9"/>
        <w:rFonts w:ascii="宋体" w:hAnsi="宋体"/>
      </w:rPr>
    </w:pPr>
    <w:r>
      <w:rPr>
        <w:rStyle w:val="9"/>
        <w:rFonts w:hint="eastAsia" w:ascii="宋体" w:hAnsi="宋体"/>
      </w:rPr>
      <w:t>—</w:t>
    </w:r>
    <w:r>
      <w:rPr>
        <w:rStyle w:val="9"/>
        <w:rFonts w:ascii="宋体" w:hAnsi="宋体"/>
      </w:rPr>
      <w:fldChar w:fldCharType="begin"/>
    </w:r>
    <w:r>
      <w:rPr>
        <w:rStyle w:val="9"/>
        <w:rFonts w:ascii="宋体" w:hAnsi="宋体"/>
      </w:rPr>
      <w:instrText xml:space="preserve">PAGE  </w:instrText>
    </w:r>
    <w:r>
      <w:rPr>
        <w:rStyle w:val="9"/>
        <w:rFonts w:ascii="宋体" w:hAnsi="宋体"/>
      </w:rPr>
      <w:fldChar w:fldCharType="separate"/>
    </w:r>
    <w:r>
      <w:rPr>
        <w:rStyle w:val="9"/>
        <w:rFonts w:ascii="宋体" w:hAnsi="宋体"/>
      </w:rPr>
      <w:t>4</w:t>
    </w:r>
    <w:r>
      <w:rPr>
        <w:rStyle w:val="9"/>
        <w:rFonts w:ascii="宋体" w:hAnsi="宋体"/>
      </w:rPr>
      <w:fldChar w:fldCharType="end"/>
    </w:r>
    <w:r>
      <w:rPr>
        <w:rStyle w:val="9"/>
        <w:rFonts w:hint="eastAsia" w:ascii="宋体" w:hAnsi="宋体"/>
      </w:rPr>
      <w:t>—</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NmNiYzY0NDVmODJhNzA0ZWJkZDhkNGRhYTRiM2EifQ=="/>
  </w:docVars>
  <w:rsids>
    <w:rsidRoot w:val="002D119D"/>
    <w:rsid w:val="000140FD"/>
    <w:rsid w:val="00016DD4"/>
    <w:rsid w:val="000216B5"/>
    <w:rsid w:val="0002453F"/>
    <w:rsid w:val="00026DCA"/>
    <w:rsid w:val="0003112E"/>
    <w:rsid w:val="00031773"/>
    <w:rsid w:val="000326DF"/>
    <w:rsid w:val="0003494B"/>
    <w:rsid w:val="00044131"/>
    <w:rsid w:val="00055418"/>
    <w:rsid w:val="0006066C"/>
    <w:rsid w:val="00066BF5"/>
    <w:rsid w:val="00074E39"/>
    <w:rsid w:val="000820BB"/>
    <w:rsid w:val="00086C63"/>
    <w:rsid w:val="000967AC"/>
    <w:rsid w:val="000A182F"/>
    <w:rsid w:val="000B102F"/>
    <w:rsid w:val="000B1766"/>
    <w:rsid w:val="000B19D0"/>
    <w:rsid w:val="000B3699"/>
    <w:rsid w:val="000B42D8"/>
    <w:rsid w:val="000C3B99"/>
    <w:rsid w:val="000D647C"/>
    <w:rsid w:val="000E11AC"/>
    <w:rsid w:val="000E4EF6"/>
    <w:rsid w:val="000E68B0"/>
    <w:rsid w:val="000F2F81"/>
    <w:rsid w:val="000F6FB2"/>
    <w:rsid w:val="000F7859"/>
    <w:rsid w:val="001020DE"/>
    <w:rsid w:val="00115CEB"/>
    <w:rsid w:val="00116653"/>
    <w:rsid w:val="00133ECB"/>
    <w:rsid w:val="00134E7A"/>
    <w:rsid w:val="001354AE"/>
    <w:rsid w:val="00143707"/>
    <w:rsid w:val="00151E8A"/>
    <w:rsid w:val="001520B8"/>
    <w:rsid w:val="00164D3E"/>
    <w:rsid w:val="00177200"/>
    <w:rsid w:val="001877EA"/>
    <w:rsid w:val="00190D14"/>
    <w:rsid w:val="00190E0B"/>
    <w:rsid w:val="00194C55"/>
    <w:rsid w:val="001968ED"/>
    <w:rsid w:val="001A07D9"/>
    <w:rsid w:val="001A20B0"/>
    <w:rsid w:val="001A50E1"/>
    <w:rsid w:val="001A5F91"/>
    <w:rsid w:val="001A641F"/>
    <w:rsid w:val="001B0D3E"/>
    <w:rsid w:val="001C0AE4"/>
    <w:rsid w:val="001C1FC7"/>
    <w:rsid w:val="001C7E2A"/>
    <w:rsid w:val="001D2D08"/>
    <w:rsid w:val="001E01C3"/>
    <w:rsid w:val="001E1108"/>
    <w:rsid w:val="001E154E"/>
    <w:rsid w:val="001E2F34"/>
    <w:rsid w:val="001E4544"/>
    <w:rsid w:val="001F271F"/>
    <w:rsid w:val="001F3F33"/>
    <w:rsid w:val="001F4D44"/>
    <w:rsid w:val="001F71D7"/>
    <w:rsid w:val="00200B06"/>
    <w:rsid w:val="00200FBF"/>
    <w:rsid w:val="002021A2"/>
    <w:rsid w:val="00204BA4"/>
    <w:rsid w:val="00214701"/>
    <w:rsid w:val="00217C4C"/>
    <w:rsid w:val="00223674"/>
    <w:rsid w:val="00226754"/>
    <w:rsid w:val="00227233"/>
    <w:rsid w:val="0023021A"/>
    <w:rsid w:val="00234789"/>
    <w:rsid w:val="00244A12"/>
    <w:rsid w:val="002514F1"/>
    <w:rsid w:val="002631C2"/>
    <w:rsid w:val="00266F79"/>
    <w:rsid w:val="00271C81"/>
    <w:rsid w:val="002731CF"/>
    <w:rsid w:val="0027721E"/>
    <w:rsid w:val="0027769F"/>
    <w:rsid w:val="00285B9C"/>
    <w:rsid w:val="00287A3A"/>
    <w:rsid w:val="002A1270"/>
    <w:rsid w:val="002A7E16"/>
    <w:rsid w:val="002B2C19"/>
    <w:rsid w:val="002B5181"/>
    <w:rsid w:val="002B55FE"/>
    <w:rsid w:val="002B7AF8"/>
    <w:rsid w:val="002D119D"/>
    <w:rsid w:val="002D4704"/>
    <w:rsid w:val="002D7B5F"/>
    <w:rsid w:val="002E1894"/>
    <w:rsid w:val="002E1D36"/>
    <w:rsid w:val="002E3743"/>
    <w:rsid w:val="002E3AB2"/>
    <w:rsid w:val="002E4711"/>
    <w:rsid w:val="002F3F3B"/>
    <w:rsid w:val="002F47C5"/>
    <w:rsid w:val="003054A0"/>
    <w:rsid w:val="00305933"/>
    <w:rsid w:val="00306D02"/>
    <w:rsid w:val="00322B6B"/>
    <w:rsid w:val="003328B1"/>
    <w:rsid w:val="00333F23"/>
    <w:rsid w:val="00334420"/>
    <w:rsid w:val="003371FC"/>
    <w:rsid w:val="00340A07"/>
    <w:rsid w:val="00340E8C"/>
    <w:rsid w:val="00351A24"/>
    <w:rsid w:val="00352C70"/>
    <w:rsid w:val="003562DB"/>
    <w:rsid w:val="00367099"/>
    <w:rsid w:val="0037133A"/>
    <w:rsid w:val="003755FB"/>
    <w:rsid w:val="00375E63"/>
    <w:rsid w:val="00380402"/>
    <w:rsid w:val="00381202"/>
    <w:rsid w:val="0038738E"/>
    <w:rsid w:val="003917CD"/>
    <w:rsid w:val="003920FA"/>
    <w:rsid w:val="003A4769"/>
    <w:rsid w:val="003A74FB"/>
    <w:rsid w:val="003C1E29"/>
    <w:rsid w:val="003C4BD5"/>
    <w:rsid w:val="003D41E7"/>
    <w:rsid w:val="003D6E27"/>
    <w:rsid w:val="003E5A98"/>
    <w:rsid w:val="003F205D"/>
    <w:rsid w:val="003F2F1E"/>
    <w:rsid w:val="003F6C1E"/>
    <w:rsid w:val="00407D21"/>
    <w:rsid w:val="004105A9"/>
    <w:rsid w:val="0041311E"/>
    <w:rsid w:val="00414E8A"/>
    <w:rsid w:val="00425919"/>
    <w:rsid w:val="00442462"/>
    <w:rsid w:val="0044466D"/>
    <w:rsid w:val="00446340"/>
    <w:rsid w:val="00446C17"/>
    <w:rsid w:val="00461164"/>
    <w:rsid w:val="00462234"/>
    <w:rsid w:val="004627ED"/>
    <w:rsid w:val="00472F58"/>
    <w:rsid w:val="00474DBF"/>
    <w:rsid w:val="0047671F"/>
    <w:rsid w:val="004776A8"/>
    <w:rsid w:val="00495C6B"/>
    <w:rsid w:val="004A56A4"/>
    <w:rsid w:val="004B1563"/>
    <w:rsid w:val="004C5FCB"/>
    <w:rsid w:val="004D077E"/>
    <w:rsid w:val="004D2863"/>
    <w:rsid w:val="004D7DDC"/>
    <w:rsid w:val="004E0A20"/>
    <w:rsid w:val="004E16DF"/>
    <w:rsid w:val="004E34FF"/>
    <w:rsid w:val="004E6D2F"/>
    <w:rsid w:val="004F0752"/>
    <w:rsid w:val="004F190D"/>
    <w:rsid w:val="005000F8"/>
    <w:rsid w:val="00506306"/>
    <w:rsid w:val="005124CF"/>
    <w:rsid w:val="005134E4"/>
    <w:rsid w:val="00513E14"/>
    <w:rsid w:val="00514DDF"/>
    <w:rsid w:val="0051683E"/>
    <w:rsid w:val="00533D31"/>
    <w:rsid w:val="0054225A"/>
    <w:rsid w:val="005479D3"/>
    <w:rsid w:val="00553A52"/>
    <w:rsid w:val="00561656"/>
    <w:rsid w:val="0056282F"/>
    <w:rsid w:val="005630E3"/>
    <w:rsid w:val="005667B7"/>
    <w:rsid w:val="00567983"/>
    <w:rsid w:val="0057176B"/>
    <w:rsid w:val="005742CC"/>
    <w:rsid w:val="00574324"/>
    <w:rsid w:val="00594BA8"/>
    <w:rsid w:val="005A15FC"/>
    <w:rsid w:val="005A2D70"/>
    <w:rsid w:val="005A66D2"/>
    <w:rsid w:val="005C3E8D"/>
    <w:rsid w:val="005C5BCA"/>
    <w:rsid w:val="005C79BD"/>
    <w:rsid w:val="005D1B9F"/>
    <w:rsid w:val="005D3337"/>
    <w:rsid w:val="005D71E0"/>
    <w:rsid w:val="005E2A7F"/>
    <w:rsid w:val="005E30FE"/>
    <w:rsid w:val="005F2168"/>
    <w:rsid w:val="005F373A"/>
    <w:rsid w:val="005F5146"/>
    <w:rsid w:val="005F603D"/>
    <w:rsid w:val="00600B67"/>
    <w:rsid w:val="00601AD9"/>
    <w:rsid w:val="00613287"/>
    <w:rsid w:val="00613E5A"/>
    <w:rsid w:val="00614360"/>
    <w:rsid w:val="00614949"/>
    <w:rsid w:val="00616F76"/>
    <w:rsid w:val="00625797"/>
    <w:rsid w:val="00632472"/>
    <w:rsid w:val="00634960"/>
    <w:rsid w:val="006369A7"/>
    <w:rsid w:val="00636DD4"/>
    <w:rsid w:val="006539DB"/>
    <w:rsid w:val="00655EA8"/>
    <w:rsid w:val="006627AC"/>
    <w:rsid w:val="006633E9"/>
    <w:rsid w:val="00664F4F"/>
    <w:rsid w:val="00665172"/>
    <w:rsid w:val="0067027D"/>
    <w:rsid w:val="00680157"/>
    <w:rsid w:val="00683735"/>
    <w:rsid w:val="00684774"/>
    <w:rsid w:val="00686272"/>
    <w:rsid w:val="00686DC8"/>
    <w:rsid w:val="00690434"/>
    <w:rsid w:val="0069249B"/>
    <w:rsid w:val="0069501B"/>
    <w:rsid w:val="006A7E5A"/>
    <w:rsid w:val="006B58B4"/>
    <w:rsid w:val="006B66C2"/>
    <w:rsid w:val="006C2B75"/>
    <w:rsid w:val="006C61D8"/>
    <w:rsid w:val="006D0D6B"/>
    <w:rsid w:val="006D1478"/>
    <w:rsid w:val="006D1614"/>
    <w:rsid w:val="006D2387"/>
    <w:rsid w:val="006D2CD4"/>
    <w:rsid w:val="006D3995"/>
    <w:rsid w:val="006E5529"/>
    <w:rsid w:val="006F0E4B"/>
    <w:rsid w:val="00706896"/>
    <w:rsid w:val="00710341"/>
    <w:rsid w:val="00712456"/>
    <w:rsid w:val="0071782A"/>
    <w:rsid w:val="0072190C"/>
    <w:rsid w:val="00722F09"/>
    <w:rsid w:val="00732F8B"/>
    <w:rsid w:val="00735478"/>
    <w:rsid w:val="00737FC6"/>
    <w:rsid w:val="00742868"/>
    <w:rsid w:val="007438EA"/>
    <w:rsid w:val="007474B9"/>
    <w:rsid w:val="00751977"/>
    <w:rsid w:val="00752814"/>
    <w:rsid w:val="00760902"/>
    <w:rsid w:val="0076102D"/>
    <w:rsid w:val="00762346"/>
    <w:rsid w:val="007707E1"/>
    <w:rsid w:val="0077086E"/>
    <w:rsid w:val="007710F0"/>
    <w:rsid w:val="007766F2"/>
    <w:rsid w:val="007773E0"/>
    <w:rsid w:val="007805CB"/>
    <w:rsid w:val="0079343E"/>
    <w:rsid w:val="00794D45"/>
    <w:rsid w:val="007A098D"/>
    <w:rsid w:val="007A0E66"/>
    <w:rsid w:val="007B2AD4"/>
    <w:rsid w:val="007B3CB1"/>
    <w:rsid w:val="007B4808"/>
    <w:rsid w:val="007B5464"/>
    <w:rsid w:val="007C0379"/>
    <w:rsid w:val="007C1874"/>
    <w:rsid w:val="007C334F"/>
    <w:rsid w:val="007C415B"/>
    <w:rsid w:val="007C57A2"/>
    <w:rsid w:val="007C69BA"/>
    <w:rsid w:val="007D0973"/>
    <w:rsid w:val="007D453F"/>
    <w:rsid w:val="007E0E68"/>
    <w:rsid w:val="007E2FE7"/>
    <w:rsid w:val="007E5219"/>
    <w:rsid w:val="007E5C44"/>
    <w:rsid w:val="007F1A84"/>
    <w:rsid w:val="007F404A"/>
    <w:rsid w:val="007F44B9"/>
    <w:rsid w:val="007F7826"/>
    <w:rsid w:val="007F7995"/>
    <w:rsid w:val="00801421"/>
    <w:rsid w:val="008029C0"/>
    <w:rsid w:val="00812D01"/>
    <w:rsid w:val="00815935"/>
    <w:rsid w:val="00820A93"/>
    <w:rsid w:val="00823488"/>
    <w:rsid w:val="00823549"/>
    <w:rsid w:val="00823802"/>
    <w:rsid w:val="00830E68"/>
    <w:rsid w:val="00831A63"/>
    <w:rsid w:val="00832FC7"/>
    <w:rsid w:val="00834F99"/>
    <w:rsid w:val="00836691"/>
    <w:rsid w:val="00846509"/>
    <w:rsid w:val="0084732E"/>
    <w:rsid w:val="00847983"/>
    <w:rsid w:val="00857A65"/>
    <w:rsid w:val="008656B8"/>
    <w:rsid w:val="00871826"/>
    <w:rsid w:val="008857AB"/>
    <w:rsid w:val="00885A63"/>
    <w:rsid w:val="00891E23"/>
    <w:rsid w:val="00894EBE"/>
    <w:rsid w:val="008A335F"/>
    <w:rsid w:val="008A3CD4"/>
    <w:rsid w:val="008A4CE1"/>
    <w:rsid w:val="008A5DC2"/>
    <w:rsid w:val="008A764D"/>
    <w:rsid w:val="008B7492"/>
    <w:rsid w:val="008C03B5"/>
    <w:rsid w:val="008C1401"/>
    <w:rsid w:val="008C2A64"/>
    <w:rsid w:val="008C2D38"/>
    <w:rsid w:val="008D0F99"/>
    <w:rsid w:val="008D1847"/>
    <w:rsid w:val="008E2400"/>
    <w:rsid w:val="008E6CFC"/>
    <w:rsid w:val="008E7448"/>
    <w:rsid w:val="008F50E1"/>
    <w:rsid w:val="0090211C"/>
    <w:rsid w:val="00902F3E"/>
    <w:rsid w:val="0090674D"/>
    <w:rsid w:val="00920FC4"/>
    <w:rsid w:val="0093046F"/>
    <w:rsid w:val="00932C8C"/>
    <w:rsid w:val="009333E1"/>
    <w:rsid w:val="009351FB"/>
    <w:rsid w:val="00936F54"/>
    <w:rsid w:val="0093749F"/>
    <w:rsid w:val="00937941"/>
    <w:rsid w:val="009418EC"/>
    <w:rsid w:val="00942B63"/>
    <w:rsid w:val="0094320D"/>
    <w:rsid w:val="0094724C"/>
    <w:rsid w:val="00952952"/>
    <w:rsid w:val="009546A2"/>
    <w:rsid w:val="0095520E"/>
    <w:rsid w:val="0095729D"/>
    <w:rsid w:val="009575BB"/>
    <w:rsid w:val="00962834"/>
    <w:rsid w:val="00965B22"/>
    <w:rsid w:val="009677B1"/>
    <w:rsid w:val="00972865"/>
    <w:rsid w:val="00974EA3"/>
    <w:rsid w:val="00977C51"/>
    <w:rsid w:val="009920D7"/>
    <w:rsid w:val="00992F8F"/>
    <w:rsid w:val="00995268"/>
    <w:rsid w:val="00996B47"/>
    <w:rsid w:val="00997721"/>
    <w:rsid w:val="009A14FB"/>
    <w:rsid w:val="009A159D"/>
    <w:rsid w:val="009A5A74"/>
    <w:rsid w:val="009A7D2E"/>
    <w:rsid w:val="009B16B2"/>
    <w:rsid w:val="009B1F32"/>
    <w:rsid w:val="009C71CE"/>
    <w:rsid w:val="009D3815"/>
    <w:rsid w:val="009D3D16"/>
    <w:rsid w:val="009E57E1"/>
    <w:rsid w:val="009F4E61"/>
    <w:rsid w:val="00A0148F"/>
    <w:rsid w:val="00A1331A"/>
    <w:rsid w:val="00A165EC"/>
    <w:rsid w:val="00A225DA"/>
    <w:rsid w:val="00A26719"/>
    <w:rsid w:val="00A27FED"/>
    <w:rsid w:val="00A3035D"/>
    <w:rsid w:val="00A337F0"/>
    <w:rsid w:val="00A37772"/>
    <w:rsid w:val="00A4049B"/>
    <w:rsid w:val="00A461C4"/>
    <w:rsid w:val="00A503C0"/>
    <w:rsid w:val="00A5322F"/>
    <w:rsid w:val="00A61021"/>
    <w:rsid w:val="00A62CC6"/>
    <w:rsid w:val="00A62E6F"/>
    <w:rsid w:val="00A6374C"/>
    <w:rsid w:val="00A67D19"/>
    <w:rsid w:val="00A77A66"/>
    <w:rsid w:val="00A83FF1"/>
    <w:rsid w:val="00A845EC"/>
    <w:rsid w:val="00A9088F"/>
    <w:rsid w:val="00A94C81"/>
    <w:rsid w:val="00AA26A8"/>
    <w:rsid w:val="00AB147A"/>
    <w:rsid w:val="00AB14AE"/>
    <w:rsid w:val="00AB320B"/>
    <w:rsid w:val="00AB53BD"/>
    <w:rsid w:val="00AB7CED"/>
    <w:rsid w:val="00AD3FB6"/>
    <w:rsid w:val="00AD4E07"/>
    <w:rsid w:val="00AE094A"/>
    <w:rsid w:val="00AE56E6"/>
    <w:rsid w:val="00AE6F33"/>
    <w:rsid w:val="00AF277E"/>
    <w:rsid w:val="00AF486D"/>
    <w:rsid w:val="00B0158D"/>
    <w:rsid w:val="00B07C29"/>
    <w:rsid w:val="00B13302"/>
    <w:rsid w:val="00B20DC9"/>
    <w:rsid w:val="00B25B35"/>
    <w:rsid w:val="00B27A2C"/>
    <w:rsid w:val="00B317AE"/>
    <w:rsid w:val="00B34FF3"/>
    <w:rsid w:val="00B43E77"/>
    <w:rsid w:val="00B44696"/>
    <w:rsid w:val="00B446E6"/>
    <w:rsid w:val="00B55293"/>
    <w:rsid w:val="00B56CC8"/>
    <w:rsid w:val="00B607E1"/>
    <w:rsid w:val="00B66E3B"/>
    <w:rsid w:val="00B74D88"/>
    <w:rsid w:val="00B752B0"/>
    <w:rsid w:val="00B81765"/>
    <w:rsid w:val="00B858D9"/>
    <w:rsid w:val="00B900AB"/>
    <w:rsid w:val="00B920D1"/>
    <w:rsid w:val="00BA38AB"/>
    <w:rsid w:val="00BA7178"/>
    <w:rsid w:val="00BB27F6"/>
    <w:rsid w:val="00BB6670"/>
    <w:rsid w:val="00BD228E"/>
    <w:rsid w:val="00BD44B2"/>
    <w:rsid w:val="00BD77F8"/>
    <w:rsid w:val="00BE3AB8"/>
    <w:rsid w:val="00BF0DD0"/>
    <w:rsid w:val="00C0033A"/>
    <w:rsid w:val="00C0576B"/>
    <w:rsid w:val="00C05B60"/>
    <w:rsid w:val="00C05DBC"/>
    <w:rsid w:val="00C10334"/>
    <w:rsid w:val="00C1386F"/>
    <w:rsid w:val="00C17250"/>
    <w:rsid w:val="00C2587D"/>
    <w:rsid w:val="00C27565"/>
    <w:rsid w:val="00C5220C"/>
    <w:rsid w:val="00C5231E"/>
    <w:rsid w:val="00C60968"/>
    <w:rsid w:val="00C6627F"/>
    <w:rsid w:val="00C67B58"/>
    <w:rsid w:val="00C73E16"/>
    <w:rsid w:val="00C93727"/>
    <w:rsid w:val="00C944A9"/>
    <w:rsid w:val="00CA5BF0"/>
    <w:rsid w:val="00CA716E"/>
    <w:rsid w:val="00CB3588"/>
    <w:rsid w:val="00CC2E69"/>
    <w:rsid w:val="00CC4016"/>
    <w:rsid w:val="00CC7801"/>
    <w:rsid w:val="00CD125D"/>
    <w:rsid w:val="00CD700F"/>
    <w:rsid w:val="00CD7873"/>
    <w:rsid w:val="00CD7C72"/>
    <w:rsid w:val="00CE0305"/>
    <w:rsid w:val="00CE308C"/>
    <w:rsid w:val="00CE48E8"/>
    <w:rsid w:val="00D055A0"/>
    <w:rsid w:val="00D25C55"/>
    <w:rsid w:val="00D2783E"/>
    <w:rsid w:val="00D3537E"/>
    <w:rsid w:val="00D35AB7"/>
    <w:rsid w:val="00D45D49"/>
    <w:rsid w:val="00D4615B"/>
    <w:rsid w:val="00D47F96"/>
    <w:rsid w:val="00D55C4E"/>
    <w:rsid w:val="00D621C7"/>
    <w:rsid w:val="00D623B2"/>
    <w:rsid w:val="00D631AD"/>
    <w:rsid w:val="00D64111"/>
    <w:rsid w:val="00D70493"/>
    <w:rsid w:val="00D706D0"/>
    <w:rsid w:val="00D70B6C"/>
    <w:rsid w:val="00D76711"/>
    <w:rsid w:val="00D76CA1"/>
    <w:rsid w:val="00D77C37"/>
    <w:rsid w:val="00D77EE2"/>
    <w:rsid w:val="00D86923"/>
    <w:rsid w:val="00D9162B"/>
    <w:rsid w:val="00DA2C77"/>
    <w:rsid w:val="00DA7783"/>
    <w:rsid w:val="00DB009A"/>
    <w:rsid w:val="00DC396D"/>
    <w:rsid w:val="00DC3B49"/>
    <w:rsid w:val="00DC4612"/>
    <w:rsid w:val="00DC6D66"/>
    <w:rsid w:val="00DD13DC"/>
    <w:rsid w:val="00DD1A38"/>
    <w:rsid w:val="00DD2AAC"/>
    <w:rsid w:val="00DD63E8"/>
    <w:rsid w:val="00DE52A4"/>
    <w:rsid w:val="00DE53A9"/>
    <w:rsid w:val="00DF304C"/>
    <w:rsid w:val="00DF332D"/>
    <w:rsid w:val="00DF754D"/>
    <w:rsid w:val="00E02A14"/>
    <w:rsid w:val="00E1628A"/>
    <w:rsid w:val="00E27A93"/>
    <w:rsid w:val="00E3188F"/>
    <w:rsid w:val="00E36EEE"/>
    <w:rsid w:val="00E370BC"/>
    <w:rsid w:val="00E427B0"/>
    <w:rsid w:val="00E53757"/>
    <w:rsid w:val="00E54308"/>
    <w:rsid w:val="00E56ACF"/>
    <w:rsid w:val="00E64109"/>
    <w:rsid w:val="00E64973"/>
    <w:rsid w:val="00E650B9"/>
    <w:rsid w:val="00E74864"/>
    <w:rsid w:val="00E864D2"/>
    <w:rsid w:val="00E97C58"/>
    <w:rsid w:val="00EA200D"/>
    <w:rsid w:val="00EA77B6"/>
    <w:rsid w:val="00EB1D33"/>
    <w:rsid w:val="00EB6E00"/>
    <w:rsid w:val="00EC4A0F"/>
    <w:rsid w:val="00EC58D3"/>
    <w:rsid w:val="00ED1C43"/>
    <w:rsid w:val="00ED3DC7"/>
    <w:rsid w:val="00ED4B4A"/>
    <w:rsid w:val="00EF6B02"/>
    <w:rsid w:val="00EF71F2"/>
    <w:rsid w:val="00F006EC"/>
    <w:rsid w:val="00F01ABB"/>
    <w:rsid w:val="00F13B0C"/>
    <w:rsid w:val="00F1615F"/>
    <w:rsid w:val="00F27EBB"/>
    <w:rsid w:val="00F3006E"/>
    <w:rsid w:val="00F35533"/>
    <w:rsid w:val="00F44482"/>
    <w:rsid w:val="00F44C24"/>
    <w:rsid w:val="00F4517F"/>
    <w:rsid w:val="00F52BFC"/>
    <w:rsid w:val="00F555DB"/>
    <w:rsid w:val="00F60C25"/>
    <w:rsid w:val="00F654F4"/>
    <w:rsid w:val="00F720FA"/>
    <w:rsid w:val="00F72A40"/>
    <w:rsid w:val="00F83E3E"/>
    <w:rsid w:val="00F91081"/>
    <w:rsid w:val="00F9179D"/>
    <w:rsid w:val="00F96394"/>
    <w:rsid w:val="00F96856"/>
    <w:rsid w:val="00FA1AB3"/>
    <w:rsid w:val="00FA50ED"/>
    <w:rsid w:val="00FA573D"/>
    <w:rsid w:val="00FA64E4"/>
    <w:rsid w:val="00FA66D9"/>
    <w:rsid w:val="00FB39F9"/>
    <w:rsid w:val="00FB4AEB"/>
    <w:rsid w:val="00FB5554"/>
    <w:rsid w:val="00FB6820"/>
    <w:rsid w:val="00FD0967"/>
    <w:rsid w:val="00FD0DB6"/>
    <w:rsid w:val="00FD16E6"/>
    <w:rsid w:val="00FD2612"/>
    <w:rsid w:val="00FD2BF6"/>
    <w:rsid w:val="00FE0D0B"/>
    <w:rsid w:val="00FE444D"/>
    <w:rsid w:val="00FF1B5D"/>
    <w:rsid w:val="016A4E1D"/>
    <w:rsid w:val="03D52899"/>
    <w:rsid w:val="043E0B96"/>
    <w:rsid w:val="048F6A70"/>
    <w:rsid w:val="064544A4"/>
    <w:rsid w:val="0CDA78AF"/>
    <w:rsid w:val="0CDDB85C"/>
    <w:rsid w:val="0D8E18F4"/>
    <w:rsid w:val="0DEF4EF3"/>
    <w:rsid w:val="0ED55F99"/>
    <w:rsid w:val="12D269A0"/>
    <w:rsid w:val="15661771"/>
    <w:rsid w:val="16853C7E"/>
    <w:rsid w:val="1821301E"/>
    <w:rsid w:val="19080DDE"/>
    <w:rsid w:val="199036B9"/>
    <w:rsid w:val="19FA2CA2"/>
    <w:rsid w:val="1B2663D6"/>
    <w:rsid w:val="1C87F82C"/>
    <w:rsid w:val="1D55495F"/>
    <w:rsid w:val="1D9E4A70"/>
    <w:rsid w:val="1EAC4837"/>
    <w:rsid w:val="1F912CF0"/>
    <w:rsid w:val="20DC3878"/>
    <w:rsid w:val="21B72EF4"/>
    <w:rsid w:val="21C57292"/>
    <w:rsid w:val="22B9385A"/>
    <w:rsid w:val="259D3D59"/>
    <w:rsid w:val="26C26E54"/>
    <w:rsid w:val="26C81D04"/>
    <w:rsid w:val="277A684E"/>
    <w:rsid w:val="28D0391F"/>
    <w:rsid w:val="28D65579"/>
    <w:rsid w:val="2C3624B7"/>
    <w:rsid w:val="2CA56D8A"/>
    <w:rsid w:val="2DF2173F"/>
    <w:rsid w:val="2E507734"/>
    <w:rsid w:val="2F911FE6"/>
    <w:rsid w:val="318259D9"/>
    <w:rsid w:val="32D37570"/>
    <w:rsid w:val="359345E5"/>
    <w:rsid w:val="37161733"/>
    <w:rsid w:val="37876C6F"/>
    <w:rsid w:val="3943045E"/>
    <w:rsid w:val="3A5170EE"/>
    <w:rsid w:val="3BFBF2E7"/>
    <w:rsid w:val="3CA93FBF"/>
    <w:rsid w:val="3D5B6E25"/>
    <w:rsid w:val="3E936AC2"/>
    <w:rsid w:val="3F653418"/>
    <w:rsid w:val="41656078"/>
    <w:rsid w:val="4196110F"/>
    <w:rsid w:val="43064239"/>
    <w:rsid w:val="435932EE"/>
    <w:rsid w:val="446965BE"/>
    <w:rsid w:val="457F26AA"/>
    <w:rsid w:val="45F01135"/>
    <w:rsid w:val="47974978"/>
    <w:rsid w:val="48587247"/>
    <w:rsid w:val="48E16D6E"/>
    <w:rsid w:val="49E64F5F"/>
    <w:rsid w:val="4BB217B7"/>
    <w:rsid w:val="4CE10796"/>
    <w:rsid w:val="4D946228"/>
    <w:rsid w:val="50C71B4A"/>
    <w:rsid w:val="50EA4F5F"/>
    <w:rsid w:val="522456E9"/>
    <w:rsid w:val="527F3784"/>
    <w:rsid w:val="52F4248C"/>
    <w:rsid w:val="55E906EC"/>
    <w:rsid w:val="566715E5"/>
    <w:rsid w:val="56D12AB5"/>
    <w:rsid w:val="577C5C99"/>
    <w:rsid w:val="59A524A5"/>
    <w:rsid w:val="5CAA27EA"/>
    <w:rsid w:val="5CB13829"/>
    <w:rsid w:val="5CD1296C"/>
    <w:rsid w:val="5DFA335B"/>
    <w:rsid w:val="5DFF92BE"/>
    <w:rsid w:val="5E4C6D12"/>
    <w:rsid w:val="5ECB7CD1"/>
    <w:rsid w:val="5F7B9727"/>
    <w:rsid w:val="5F960267"/>
    <w:rsid w:val="62F17365"/>
    <w:rsid w:val="63AA02DC"/>
    <w:rsid w:val="647F41DD"/>
    <w:rsid w:val="64B23C83"/>
    <w:rsid w:val="67CB5DF1"/>
    <w:rsid w:val="67F20710"/>
    <w:rsid w:val="67F407EB"/>
    <w:rsid w:val="683959D0"/>
    <w:rsid w:val="6E5F2889"/>
    <w:rsid w:val="6E8A6AEA"/>
    <w:rsid w:val="6EF01A9D"/>
    <w:rsid w:val="6F291F9E"/>
    <w:rsid w:val="6F7464EA"/>
    <w:rsid w:val="6F7C0003"/>
    <w:rsid w:val="6FBA780B"/>
    <w:rsid w:val="70B936BB"/>
    <w:rsid w:val="736F544B"/>
    <w:rsid w:val="74D839A7"/>
    <w:rsid w:val="753D4FAA"/>
    <w:rsid w:val="76037AC6"/>
    <w:rsid w:val="766F577F"/>
    <w:rsid w:val="77A599E5"/>
    <w:rsid w:val="7A251D68"/>
    <w:rsid w:val="7BC03853"/>
    <w:rsid w:val="7C796A80"/>
    <w:rsid w:val="7D542BB5"/>
    <w:rsid w:val="7DEC6BA3"/>
    <w:rsid w:val="7EEA1AB4"/>
    <w:rsid w:val="7F5D6EA6"/>
    <w:rsid w:val="7FEFB4EB"/>
    <w:rsid w:val="AF3F8F21"/>
    <w:rsid w:val="B7E786EF"/>
    <w:rsid w:val="BEFF9AE9"/>
    <w:rsid w:val="E5EB0AB2"/>
    <w:rsid w:val="E79BE997"/>
    <w:rsid w:val="EFFEEDEB"/>
    <w:rsid w:val="EFFF5E55"/>
    <w:rsid w:val="F7EF299E"/>
    <w:rsid w:val="F7FFD8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line="360" w:lineRule="auto"/>
      <w:ind w:firstLine="200" w:firstLineChars="200"/>
      <w:outlineLvl w:val="1"/>
    </w:pPr>
    <w:rPr>
      <w:rFonts w:eastAsia="楷体_GB2312" w:asciiTheme="majorHAnsi" w:hAnsiTheme="majorHAnsi"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28"/>
      <w:szCs w:val="2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日期 Char"/>
    <w:link w:val="3"/>
    <w:qFormat/>
    <w:uiPriority w:val="0"/>
    <w:rPr>
      <w:kern w:val="2"/>
      <w:sz w:val="21"/>
      <w:szCs w:val="24"/>
    </w:rPr>
  </w:style>
  <w:style w:type="paragraph" w:styleId="11">
    <w:name w:val="List Paragraph"/>
    <w:basedOn w:val="1"/>
    <w:qFormat/>
    <w:uiPriority w:val="34"/>
    <w:pPr>
      <w:ind w:firstLine="420" w:firstLineChars="200"/>
    </w:pPr>
  </w:style>
  <w:style w:type="paragraph" w:customStyle="1" w:styleId="12">
    <w:name w:val="公文标题"/>
    <w:basedOn w:val="1"/>
    <w:qFormat/>
    <w:uiPriority w:val="0"/>
    <w:pPr>
      <w:spacing w:line="600" w:lineRule="exact"/>
      <w:jc w:val="center"/>
    </w:pPr>
    <w:rPr>
      <w:rFonts w:eastAsia="华文中宋"/>
      <w:sz w:val="44"/>
    </w:rPr>
  </w:style>
  <w:style w:type="character" w:customStyle="1" w:styleId="13">
    <w:name w:val="页脚 Char"/>
    <w:basedOn w:val="8"/>
    <w:link w:val="5"/>
    <w:qFormat/>
    <w:uiPriority w:val="99"/>
    <w:rPr>
      <w:rFonts w:ascii="Times New Roman" w:hAnsi="Times New Roman" w:eastAsia="宋体" w:cs="Times New Roman"/>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wisetek</Company>
  <Pages>7</Pages>
  <Words>3639</Words>
  <Characters>3710</Characters>
  <Lines>27</Lines>
  <Paragraphs>7</Paragraphs>
  <TotalTime>39</TotalTime>
  <ScaleCrop>false</ScaleCrop>
  <LinksUpToDate>false</LinksUpToDate>
  <CharactersWithSpaces>3714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2020-12-12T08:25:00Z</dcterms:created>
  <dc:creator>admin</dc:creator>
  <cp:lastModifiedBy>W</cp:lastModifiedBy>
  <cp:lastPrinted>2020-12-12T04:47:00Z</cp:lastPrinted>
  <dcterms:modified xsi:type="dcterms:W3CDTF">2024-05-27T07:47:41Z</dcterms:modified>
  <dc:title>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113DA735B8504D0CAB51A7EAC8E329C1_12</vt:lpwstr>
  </property>
</Properties>
</file>