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浦东新区东明路街道2020年法治政府</w:t>
      </w:r>
    </w:p>
    <w:p>
      <w:pPr>
        <w:spacing w:line="56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建设情况报告</w:t>
      </w:r>
    </w:p>
    <w:p>
      <w:pPr>
        <w:spacing w:line="520" w:lineRule="exact"/>
        <w:ind w:firstLine="560"/>
        <w:rPr>
          <w:rFonts w:ascii="仿宋" w:hAnsi="仿宋" w:eastAsia="仿宋"/>
          <w:sz w:val="32"/>
          <w:szCs w:val="32"/>
        </w:rPr>
      </w:pPr>
    </w:p>
    <w:p>
      <w:pPr>
        <w:spacing w:line="52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w:t>
      </w:r>
      <w:r>
        <w:rPr>
          <w:rFonts w:hint="eastAsia" w:ascii="仿宋" w:hAnsi="仿宋" w:eastAsia="仿宋"/>
          <w:sz w:val="32"/>
          <w:szCs w:val="32"/>
        </w:rPr>
        <w:t>20年，东明路街道办事处在区委区政府的坚强领导下，深入贯彻党的十九大和十九届一中、二中、三中、四中全会精神，紧紧围绕上海市法治政府建设“十三五”规划和法治浦东建设目标任务，严格按照《</w:t>
      </w:r>
      <w:r>
        <w:rPr>
          <w:rFonts w:hint="eastAsia" w:ascii="仿宋_GB2312" w:eastAsia="仿宋_GB2312"/>
          <w:color w:val="000000" w:themeColor="text1"/>
          <w:sz w:val="32"/>
          <w:szCs w:val="32"/>
        </w:rPr>
        <w:t>浦东新区委员会全面依法治区委员会2020年工作要点明确的主要事项及分工方案》</w:t>
      </w:r>
      <w:r>
        <w:rPr>
          <w:rFonts w:hint="eastAsia" w:ascii="仿宋" w:hAnsi="仿宋" w:eastAsia="仿宋"/>
          <w:sz w:val="32"/>
          <w:szCs w:val="32"/>
        </w:rPr>
        <w:t>部署要求，把法治建设作为本单位一项基础性、保障性、引领性工程来抓，将“法治东明”建设作为党工委、办事处2020年度重点工作之一，立足实际整体谋划、主动而为系统实施，法治政府建设取得积极成效。现将东明路街道2020年度推进法治政府建设情况报告如下：</w:t>
      </w:r>
    </w:p>
    <w:p>
      <w:pPr>
        <w:spacing w:line="520" w:lineRule="exact"/>
        <w:ind w:firstLine="643" w:firstLineChars="200"/>
        <w:rPr>
          <w:rFonts w:ascii="黑体" w:hAnsi="黑体" w:eastAsia="黑体"/>
          <w:b/>
          <w:sz w:val="32"/>
          <w:szCs w:val="32"/>
        </w:rPr>
      </w:pPr>
      <w:r>
        <w:rPr>
          <w:rFonts w:hint="eastAsia" w:ascii="黑体" w:hAnsi="黑体" w:eastAsia="黑体"/>
          <w:b/>
          <w:sz w:val="32"/>
          <w:szCs w:val="32"/>
        </w:rPr>
        <w:t>一、2020年度法治政府建设基本情况</w:t>
      </w:r>
    </w:p>
    <w:p>
      <w:pPr>
        <w:adjustRightInd w:val="0"/>
        <w:snapToGrid w:val="0"/>
        <w:spacing w:line="520" w:lineRule="exact"/>
        <w:ind w:firstLine="630" w:firstLineChars="196"/>
        <w:rPr>
          <w:rFonts w:ascii="楷体" w:hAnsi="楷体" w:eastAsia="楷体"/>
          <w:sz w:val="32"/>
          <w:szCs w:val="32"/>
        </w:rPr>
      </w:pPr>
      <w:r>
        <w:rPr>
          <w:rFonts w:hint="eastAsia" w:ascii="楷体" w:hAnsi="楷体" w:eastAsia="楷体"/>
          <w:b/>
          <w:bCs/>
          <w:sz w:val="32"/>
          <w:szCs w:val="32"/>
        </w:rPr>
        <w:t xml:space="preserve">（一）建立健全基层法治建设领导体制和工作机制 </w:t>
      </w:r>
    </w:p>
    <w:p>
      <w:pPr>
        <w:widowControl/>
        <w:adjustRightInd w:val="0"/>
        <w:snapToGrid w:val="0"/>
        <w:spacing w:line="560" w:lineRule="exact"/>
        <w:ind w:firstLine="643" w:firstLineChars="200"/>
        <w:rPr>
          <w:rFonts w:ascii="仿宋" w:hAnsi="仿宋" w:eastAsia="仿宋"/>
          <w:sz w:val="32"/>
          <w:szCs w:val="32"/>
        </w:rPr>
      </w:pPr>
      <w:r>
        <w:rPr>
          <w:rFonts w:hint="eastAsia" w:ascii="仿宋" w:hAnsi="仿宋" w:eastAsia="仿宋" w:cs="楷体"/>
          <w:b/>
          <w:bCs/>
          <w:sz w:val="32"/>
          <w:szCs w:val="32"/>
        </w:rPr>
        <w:t>一是组建全面</w:t>
      </w:r>
      <w:r>
        <w:rPr>
          <w:rFonts w:hint="eastAsia" w:ascii="仿宋_GB2312" w:hAnsi="仿宋_GB2312" w:eastAsia="仿宋_GB2312" w:cs="仿宋_GB2312"/>
          <w:b/>
          <w:bCs/>
          <w:color w:val="000000"/>
          <w:kern w:val="0"/>
          <w:sz w:val="32"/>
          <w:szCs w:val="32"/>
        </w:rPr>
        <w:t>依法治理委员会。</w:t>
      </w:r>
      <w:r>
        <w:rPr>
          <w:rFonts w:hint="eastAsia" w:ascii="仿宋" w:hAnsi="仿宋" w:eastAsia="仿宋" w:cs="Times New Roman"/>
          <w:sz w:val="32"/>
          <w:szCs w:val="32"/>
        </w:rPr>
        <w:t>加强对</w:t>
      </w:r>
      <w:r>
        <w:rPr>
          <w:rFonts w:hint="eastAsia" w:ascii="仿宋" w:hAnsi="仿宋" w:eastAsia="仿宋"/>
          <w:sz w:val="32"/>
          <w:szCs w:val="32"/>
        </w:rPr>
        <w:t>基层法治建设的组织领导，成立以党工委书记任主任，办事处主任、街道党工委副书记任副主任、部门分管领导以及各部门负责同志为委员的全面依法治理委员会，制定《关于全面加强和改进东明路街道基层法治建设的实施方案》，进一步明确基层法治建设重点任务及责任分工，并召开全面依法治理委员会第一次会议进行阶段总结和部署，统筹协调各方力量继续全面深入推进基层法治建设工作。</w:t>
      </w:r>
    </w:p>
    <w:p>
      <w:pPr>
        <w:widowControl/>
        <w:adjustRightInd w:val="0"/>
        <w:snapToGrid w:val="0"/>
        <w:spacing w:line="560" w:lineRule="exact"/>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二是明确法治建设机构的职责定位。</w:t>
      </w:r>
      <w:r>
        <w:rPr>
          <w:rFonts w:hint="eastAsia" w:ascii="仿宋" w:hAnsi="仿宋" w:eastAsia="仿宋"/>
          <w:sz w:val="32"/>
          <w:szCs w:val="32"/>
        </w:rPr>
        <w:t>街道全面依法治理委员会统一部署和组织本街道法治建设工作，统筹力量推进本街道法治建设。贯彻落实中央、市委和区委有关法治建设的决策部署和工作要求；协调、推动街道依法决策、行政执法、守法普法等工作；推动街道各部门、各单位和居民区依法治理等工作。同时全年辅以专题会、书记会、党工委会等形式及时研究解决落实法治建设重大问题，如法治建设责任制、非诉讼纠纷一体化解决机制、合同管理、行政规范性文件修订、政务公开及保密机要安全教育和风险排查工作等。</w:t>
      </w:r>
    </w:p>
    <w:p>
      <w:pPr>
        <w:widowControl/>
        <w:adjustRightInd w:val="0"/>
        <w:snapToGrid w:val="0"/>
        <w:spacing w:line="560" w:lineRule="exact"/>
        <w:ind w:firstLine="643" w:firstLineChars="200"/>
        <w:rPr>
          <w:rFonts w:ascii="仿宋" w:hAnsi="仿宋" w:eastAsia="仿宋"/>
          <w:sz w:val="32"/>
          <w:szCs w:val="32"/>
        </w:rPr>
      </w:pPr>
      <w:r>
        <w:rPr>
          <w:rFonts w:hint="eastAsia" w:ascii="仿宋_GB2312" w:hAnsi="仿宋_GB2312" w:eastAsia="仿宋_GB2312" w:cs="仿宋_GB2312"/>
          <w:b/>
          <w:bCs/>
          <w:color w:val="000000"/>
          <w:kern w:val="0"/>
          <w:sz w:val="32"/>
          <w:szCs w:val="32"/>
        </w:rPr>
        <w:t>三是健全基层法治建设工作机制。</w:t>
      </w:r>
      <w:r>
        <w:rPr>
          <w:rFonts w:hint="eastAsia" w:ascii="仿宋" w:hAnsi="仿宋" w:eastAsia="仿宋"/>
          <w:sz w:val="32"/>
          <w:szCs w:val="32"/>
        </w:rPr>
        <w:t>加强法治建设各项工作机制建设。明确街道全面依法治理委员会各成员单位职责，建立任务分派、督察、考核、培训等制度。全面依法治理委员会定期召开会议，专题研究部署本街道法治建设工作，会议形成的意见和工作部署，由街道各有关部门贯彻落实。</w:t>
      </w:r>
    </w:p>
    <w:p>
      <w:pPr>
        <w:adjustRightInd w:val="0"/>
        <w:snapToGrid w:val="0"/>
        <w:spacing w:line="520" w:lineRule="exact"/>
        <w:ind w:firstLine="630" w:firstLineChars="196"/>
        <w:rPr>
          <w:rFonts w:ascii="楷体" w:hAnsi="楷体" w:eastAsia="楷体"/>
          <w:b/>
          <w:bCs/>
          <w:sz w:val="32"/>
          <w:szCs w:val="32"/>
        </w:rPr>
      </w:pPr>
      <w:r>
        <w:rPr>
          <w:rFonts w:hint="eastAsia" w:ascii="楷体" w:hAnsi="楷体" w:eastAsia="楷体"/>
          <w:b/>
          <w:bCs/>
          <w:sz w:val="32"/>
          <w:szCs w:val="32"/>
        </w:rPr>
        <w:t>（二）切实提高依法行政水平</w:t>
      </w:r>
    </w:p>
    <w:p>
      <w:pPr>
        <w:widowControl/>
        <w:adjustRightInd w:val="0"/>
        <w:snapToGrid w:val="0"/>
        <w:spacing w:line="560" w:lineRule="exact"/>
        <w:ind w:firstLine="643" w:firstLineChars="200"/>
        <w:rPr>
          <w:rFonts w:ascii="仿宋" w:hAnsi="仿宋" w:eastAsia="仿宋"/>
          <w:sz w:val="32"/>
          <w:szCs w:val="32"/>
        </w:rPr>
      </w:pPr>
      <w:r>
        <w:rPr>
          <w:rFonts w:hint="eastAsia" w:ascii="仿宋_GB2312" w:hAnsi="仿宋_GB2312" w:eastAsia="仿宋_GB2312" w:cs="仿宋_GB2312"/>
          <w:b/>
          <w:bCs/>
          <w:color w:val="000000"/>
          <w:kern w:val="0"/>
          <w:sz w:val="32"/>
          <w:szCs w:val="32"/>
        </w:rPr>
        <w:t>一是加强街道依法行政制度供给。</w:t>
      </w:r>
      <w:r>
        <w:rPr>
          <w:rFonts w:hint="eastAsia" w:ascii="仿宋" w:hAnsi="仿宋" w:eastAsia="仿宋"/>
          <w:sz w:val="32"/>
          <w:szCs w:val="32"/>
        </w:rPr>
        <w:t>出台《2020年“法治东明”建设工作实施意见》和《东明路街道落实法治建设责任制工作方案》，制定《关于全面加强和改进东明路街道基层法治建设的实施方案》，为系统推进“法治东明”新一轮建设提供制度保障。发布东明路街道2019年“法治政府”建设情况年度报告。</w:t>
      </w:r>
      <w:r>
        <w:rPr>
          <w:rFonts w:hint="eastAsia" w:ascii="仿宋" w:hAnsi="仿宋" w:eastAsia="仿宋" w:cs="仿宋"/>
          <w:snapToGrid w:val="0"/>
          <w:spacing w:val="-4"/>
          <w:sz w:val="32"/>
          <w:szCs w:val="32"/>
        </w:rPr>
        <w:t>完善《东明路街道政府购买服务方案》、《东明路街道政府购买社会组织服务标准化流程（试行）》，制定《东明路街道疫情防控应急预案》等。会同党政办调整完善政务公开相关工作流程。完成“</w:t>
      </w:r>
      <w:r>
        <w:rPr>
          <w:rFonts w:hint="eastAsia" w:ascii="仿宋" w:hAnsi="仿宋" w:eastAsia="仿宋"/>
          <w:sz w:val="32"/>
          <w:szCs w:val="32"/>
        </w:rPr>
        <w:t>基层行政执法中短板与对策研究”专题调研并申报全面依法治区调研课题，努力为今后基层行政执法改革提供决策参考。</w:t>
      </w:r>
    </w:p>
    <w:p>
      <w:pPr>
        <w:widowControl/>
        <w:adjustRightInd w:val="0"/>
        <w:snapToGrid w:val="0"/>
        <w:spacing w:line="560" w:lineRule="exact"/>
        <w:ind w:firstLine="643" w:firstLineChars="200"/>
        <w:rPr>
          <w:rFonts w:ascii="仿宋" w:hAnsi="仿宋" w:eastAsia="仿宋" w:cs="楷体"/>
          <w:bCs/>
          <w:sz w:val="32"/>
          <w:szCs w:val="32"/>
        </w:rPr>
      </w:pPr>
      <w:r>
        <w:rPr>
          <w:rFonts w:hint="eastAsia" w:ascii="仿宋_GB2312" w:hAnsi="仿宋_GB2312" w:eastAsia="仿宋_GB2312" w:cs="仿宋_GB2312"/>
          <w:b/>
          <w:bCs/>
          <w:color w:val="000000"/>
          <w:kern w:val="0"/>
          <w:sz w:val="32"/>
          <w:szCs w:val="32"/>
        </w:rPr>
        <w:t>二是完善法律风险排查防控机制。</w:t>
      </w:r>
      <w:r>
        <w:rPr>
          <w:rFonts w:hint="eastAsia" w:ascii="仿宋" w:hAnsi="仿宋" w:eastAsia="仿宋"/>
          <w:bCs/>
          <w:sz w:val="32"/>
          <w:szCs w:val="32"/>
        </w:rPr>
        <w:t>优化法制审核，由街道法制干部、公职律师和法律顾问共同</w:t>
      </w:r>
      <w:r>
        <w:rPr>
          <w:rFonts w:hint="eastAsia" w:ascii="仿宋" w:hAnsi="仿宋" w:eastAsia="仿宋" w:cs="楷体"/>
          <w:bCs/>
          <w:sz w:val="32"/>
          <w:szCs w:val="32"/>
        </w:rPr>
        <w:t>做好</w:t>
      </w:r>
      <w:r>
        <w:rPr>
          <w:rFonts w:hint="eastAsia" w:ascii="仿宋" w:hAnsi="仿宋" w:eastAsia="仿宋"/>
          <w:bCs/>
          <w:sz w:val="32"/>
          <w:szCs w:val="32"/>
        </w:rPr>
        <w:t>街道重大行政决策、合同、重大行政执法决定的法制审核。</w:t>
      </w:r>
      <w:r>
        <w:rPr>
          <w:rFonts w:hint="eastAsia" w:ascii="仿宋" w:hAnsi="仿宋" w:eastAsia="仿宋" w:cs="楷体"/>
          <w:bCs/>
          <w:sz w:val="32"/>
          <w:szCs w:val="32"/>
        </w:rPr>
        <w:t>优化合同法制审核机制，试行网上审核。持续开展民事经济领域合同法律风险排查及整改工作</w:t>
      </w:r>
      <w:r>
        <w:rPr>
          <w:rFonts w:hint="eastAsia" w:ascii="仿宋" w:hAnsi="仿宋" w:eastAsia="仿宋"/>
          <w:sz w:val="32"/>
          <w:szCs w:val="32"/>
        </w:rPr>
        <w:t>，共排查合同1400余份，排查出存在较大法律风险或瑕疵的合同13份。深化成果运用，出台《东明路街道合同管理办法（试行）》，</w:t>
      </w:r>
      <w:r>
        <w:rPr>
          <w:rFonts w:hint="eastAsia" w:ascii="仿宋" w:hAnsi="仿宋" w:eastAsia="仿宋" w:cs="仿宋"/>
          <w:snapToGrid w:val="0"/>
          <w:spacing w:val="-4"/>
          <w:sz w:val="32"/>
          <w:szCs w:val="32"/>
        </w:rPr>
        <w:t>举办合同管理实务专题培训，大幅优化街道合同法律风险防控能级。</w:t>
      </w:r>
      <w:r>
        <w:rPr>
          <w:rFonts w:hint="eastAsia" w:ascii="仿宋" w:hAnsi="仿宋" w:eastAsia="仿宋" w:cs="楷体"/>
          <w:bCs/>
          <w:sz w:val="32"/>
          <w:szCs w:val="32"/>
        </w:rPr>
        <w:t>严格执行司法所所长列席街道主任办公会议制度。</w:t>
      </w:r>
    </w:p>
    <w:p>
      <w:pPr>
        <w:widowControl/>
        <w:adjustRightInd w:val="0"/>
        <w:snapToGrid w:val="0"/>
        <w:spacing w:line="560" w:lineRule="exact"/>
        <w:ind w:firstLine="643" w:firstLineChars="200"/>
        <w:rPr>
          <w:rFonts w:ascii="仿宋" w:hAnsi="仿宋" w:eastAsia="仿宋"/>
          <w:bCs/>
          <w:sz w:val="32"/>
          <w:szCs w:val="32"/>
        </w:rPr>
      </w:pPr>
      <w:r>
        <w:rPr>
          <w:rFonts w:hint="eastAsia" w:ascii="仿宋_GB2312" w:hAnsi="仿宋_GB2312" w:eastAsia="仿宋_GB2312" w:cs="仿宋_GB2312"/>
          <w:b/>
          <w:bCs/>
          <w:color w:val="000000"/>
          <w:kern w:val="0"/>
          <w:sz w:val="32"/>
          <w:szCs w:val="32"/>
        </w:rPr>
        <w:t>三是完善政务公开。</w:t>
      </w:r>
      <w:r>
        <w:rPr>
          <w:rFonts w:hint="eastAsia" w:ascii="仿宋" w:hAnsi="仿宋" w:eastAsia="仿宋"/>
          <w:bCs/>
          <w:sz w:val="32"/>
          <w:szCs w:val="32"/>
        </w:rPr>
        <w:t>完善街道政务公开发布审核机制，规范编制并及时更新政务公开指南，按时发布政府信息公开工作年度报告、法治政府建设情况年度报告及年度普法责任清单等重要信息。</w:t>
      </w:r>
      <w:r>
        <w:rPr>
          <w:rFonts w:hint="eastAsia" w:ascii="仿宋" w:hAnsi="仿宋" w:eastAsia="仿宋" w:cs="方正仿宋_GB18030"/>
          <w:bCs/>
          <w:kern w:val="0"/>
          <w:sz w:val="32"/>
          <w:szCs w:val="32"/>
        </w:rPr>
        <w:t>全年主动公开公文10份，其中行政规范性文件1份，主动公开率达到100%。</w:t>
      </w:r>
      <w:r>
        <w:rPr>
          <w:rFonts w:hint="eastAsia" w:ascii="仿宋" w:hAnsi="仿宋" w:eastAsia="仿宋"/>
          <w:bCs/>
          <w:sz w:val="32"/>
          <w:szCs w:val="32"/>
        </w:rPr>
        <w:t>全年通过门户网站、政务微信、社区报等媒介主动公开除公文外其他政府信息699条。</w:t>
      </w:r>
    </w:p>
    <w:p>
      <w:pPr>
        <w:widowControl/>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四是规范行政执法。</w:t>
      </w:r>
      <w:r>
        <w:rPr>
          <w:rFonts w:hint="eastAsia" w:ascii="仿宋" w:hAnsi="仿宋" w:eastAsia="仿宋"/>
          <w:bCs/>
          <w:sz w:val="32"/>
          <w:szCs w:val="32"/>
        </w:rPr>
        <w:t>落实行政执法公示制度、执法全过程记录制度、行政执法审核制度。加强行政执法证管理，严格执行持证上岗规定。强化行政执法人员程序意识和证据意识，严格依法依规执法。抓好行政执法案卷自查工作。</w:t>
      </w:r>
    </w:p>
    <w:p>
      <w:pPr>
        <w:widowControl/>
        <w:adjustRightInd w:val="0"/>
        <w:snapToGrid w:val="0"/>
        <w:spacing w:line="560" w:lineRule="exact"/>
        <w:ind w:firstLine="643" w:firstLineChars="200"/>
        <w:rPr>
          <w:rFonts w:ascii="仿宋" w:hAnsi="仿宋" w:eastAsia="仿宋"/>
          <w:sz w:val="32"/>
          <w:szCs w:val="32"/>
        </w:rPr>
      </w:pPr>
      <w:r>
        <w:rPr>
          <w:rFonts w:hint="eastAsia" w:ascii="仿宋" w:hAnsi="仿宋" w:eastAsia="仿宋" w:cs="楷体"/>
          <w:b/>
          <w:sz w:val="32"/>
          <w:szCs w:val="32"/>
        </w:rPr>
        <w:t>五是加强规范性文件管理。</w:t>
      </w:r>
      <w:r>
        <w:rPr>
          <w:rFonts w:hint="eastAsia" w:ascii="仿宋" w:hAnsi="仿宋" w:eastAsia="仿宋"/>
          <w:bCs/>
          <w:sz w:val="32"/>
          <w:szCs w:val="32"/>
        </w:rPr>
        <w:t>加强规范性文件全生命周期管理，严格按照程序规范做好街道相关部门规范性文件的制定、延期、备案工作。2020年</w:t>
      </w:r>
      <w:r>
        <w:rPr>
          <w:rFonts w:hint="eastAsia" w:ascii="仿宋" w:hAnsi="仿宋" w:eastAsia="仿宋"/>
          <w:sz w:val="32"/>
          <w:szCs w:val="32"/>
        </w:rPr>
        <w:t>规范做好行政规范性文件（《东明路街道老旧住宅小区物业达标补贴实施办法》）公开征求意见、合法性审查等法定程序。</w:t>
      </w:r>
      <w:r>
        <w:rPr>
          <w:rFonts w:hint="eastAsia" w:ascii="仿宋" w:hAnsi="仿宋" w:eastAsia="仿宋"/>
          <w:bCs/>
          <w:sz w:val="32"/>
          <w:szCs w:val="32"/>
        </w:rPr>
        <w:t>严格保密机要的文件及设备管理，开展保密宣传教育。</w:t>
      </w:r>
    </w:p>
    <w:p>
      <w:pPr>
        <w:adjustRightInd w:val="0"/>
        <w:snapToGrid w:val="0"/>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（三）有效提升依法治理能级</w:t>
      </w:r>
    </w:p>
    <w:p>
      <w:pPr>
        <w:widowControl/>
        <w:adjustRightInd w:val="0"/>
        <w:snapToGrid w:val="0"/>
        <w:spacing w:line="560" w:lineRule="exact"/>
        <w:ind w:firstLine="643" w:firstLineChars="200"/>
        <w:rPr>
          <w:rFonts w:ascii="仿宋" w:hAnsi="仿宋" w:eastAsia="仿宋"/>
          <w:sz w:val="32"/>
          <w:szCs w:val="32"/>
        </w:rPr>
      </w:pPr>
      <w:r>
        <w:rPr>
          <w:rFonts w:hint="eastAsia" w:ascii="仿宋_GB2312" w:hAnsi="仿宋_GB2312" w:eastAsia="仿宋_GB2312" w:cs="仿宋_GB2312"/>
          <w:b/>
          <w:bCs/>
          <w:color w:val="000000"/>
          <w:kern w:val="0"/>
          <w:sz w:val="32"/>
          <w:szCs w:val="32"/>
        </w:rPr>
        <w:t>一是探索试行非诉讼纠纷一体化解决机制。</w:t>
      </w:r>
      <w:r>
        <w:rPr>
          <w:rFonts w:hint="eastAsia" w:ascii="仿宋" w:hAnsi="仿宋" w:eastAsia="仿宋"/>
          <w:snapToGrid w:val="0"/>
          <w:spacing w:val="-4"/>
          <w:kern w:val="0"/>
          <w:sz w:val="32"/>
          <w:szCs w:val="32"/>
        </w:rPr>
        <w:t>设立</w:t>
      </w:r>
      <w:r>
        <w:rPr>
          <w:rFonts w:hint="eastAsia" w:ascii="仿宋" w:hAnsi="仿宋" w:eastAsia="仿宋" w:cs="仿宋_GB2312"/>
          <w:bCs/>
          <w:color w:val="000000"/>
          <w:spacing w:val="-11"/>
          <w:sz w:val="32"/>
          <w:szCs w:val="32"/>
        </w:rPr>
        <w:t>纠纷事项正面清单</w:t>
      </w:r>
      <w:r>
        <w:rPr>
          <w:rFonts w:hint="eastAsia" w:ascii="仿宋" w:hAnsi="仿宋" w:eastAsia="仿宋" w:cs="仿宋_GB2312"/>
          <w:bCs/>
          <w:color w:val="000000"/>
          <w:sz w:val="32"/>
          <w:szCs w:val="32"/>
        </w:rPr>
        <w:t>准入制度和实行流程图管理，</w:t>
      </w:r>
      <w:r>
        <w:rPr>
          <w:rFonts w:hint="eastAsia" w:ascii="仿宋" w:hAnsi="仿宋" w:eastAsia="仿宋" w:cs="仿宋"/>
          <w:bCs/>
          <w:kern w:val="0"/>
          <w:sz w:val="32"/>
          <w:szCs w:val="32"/>
          <w:u w:color="C45911"/>
          <w:lang w:val="zh-TW"/>
        </w:rPr>
        <w:t>做实“专业-全科-简易”纠纷分级调解体系和人民调解约请机制，</w:t>
      </w:r>
      <w:r>
        <w:rPr>
          <w:rFonts w:hint="eastAsia" w:ascii="仿宋" w:hAnsi="仿宋" w:eastAsia="仿宋" w:cs="仿宋"/>
          <w:sz w:val="32"/>
          <w:szCs w:val="32"/>
          <w:lang w:val="zh-TW"/>
        </w:rPr>
        <w:t>妥善处理跨部门疑难纠纷8起</w:t>
      </w:r>
      <w:r>
        <w:rPr>
          <w:rFonts w:hint="eastAsia" w:ascii="仿宋" w:hAnsi="仿宋" w:eastAsia="仿宋"/>
          <w:bCs/>
          <w:sz w:val="32"/>
          <w:szCs w:val="32"/>
        </w:rPr>
        <w:t>。</w:t>
      </w:r>
      <w:r>
        <w:rPr>
          <w:rFonts w:hint="eastAsia" w:ascii="仿宋" w:hAnsi="仿宋" w:eastAsia="仿宋"/>
          <w:sz w:val="32"/>
          <w:szCs w:val="32"/>
        </w:rPr>
        <w:t>平息和化解各类纠纷2556起，制作人民调解协议书92份。</w:t>
      </w:r>
      <w:r>
        <w:rPr>
          <w:rFonts w:hint="eastAsia" w:ascii="仿宋" w:hAnsi="仿宋" w:eastAsia="仿宋" w:cs="仿宋"/>
          <w:sz w:val="32"/>
          <w:szCs w:val="32"/>
        </w:rPr>
        <w:t>楼组调解志愿服务队组建至今已经三年多，由红梅调解工作室通过以案带教、法庭观摩、旁听“星期六我为你值班”公益法律接待等形式多渠道培养团队调解能力和法律实务运用能力，队伍目前已经发展壮大到3</w:t>
      </w:r>
      <w:r>
        <w:rPr>
          <w:rFonts w:ascii="仿宋" w:hAnsi="仿宋" w:eastAsia="仿宋" w:cs="仿宋"/>
          <w:sz w:val="32"/>
          <w:szCs w:val="32"/>
        </w:rPr>
        <w:t>3</w:t>
      </w:r>
      <w:r>
        <w:rPr>
          <w:rFonts w:hint="eastAsia" w:ascii="仿宋" w:hAnsi="仿宋" w:eastAsia="仿宋" w:cs="仿宋"/>
          <w:sz w:val="32"/>
          <w:szCs w:val="32"/>
        </w:rPr>
        <w:t>人，覆盖32个居民区，</w:t>
      </w:r>
      <w:r>
        <w:rPr>
          <w:rFonts w:hint="eastAsia" w:ascii="仿宋" w:hAnsi="仿宋" w:eastAsia="仿宋"/>
          <w:sz w:val="32"/>
          <w:szCs w:val="32"/>
        </w:rPr>
        <w:t>成为居民区纠纷调解的重要力量，今年共制作人民调解协议书40份</w:t>
      </w:r>
      <w:r>
        <w:rPr>
          <w:rFonts w:ascii="仿宋" w:hAnsi="仿宋" w:eastAsia="仿宋"/>
          <w:sz w:val="32"/>
          <w:szCs w:val="32"/>
        </w:rPr>
        <w:t>。</w:t>
      </w:r>
      <w:r>
        <w:rPr>
          <w:rFonts w:hint="eastAsia" w:ascii="仿宋" w:hAnsi="仿宋" w:eastAsia="仿宋" w:cs="Times New Roman"/>
          <w:sz w:val="32"/>
          <w:szCs w:val="32"/>
        </w:rPr>
        <w:t>“红梅之花遍开楼组”项目获评2019年浦东新区社会组织参与社区治理十大创新项目。</w:t>
      </w:r>
      <w:r>
        <w:rPr>
          <w:rFonts w:hint="eastAsia" w:ascii="仿宋" w:hAnsi="仿宋" w:eastAsia="仿宋" w:cs="Times New Roman"/>
          <w:b/>
          <w:bCs/>
          <w:sz w:val="32"/>
          <w:szCs w:val="32"/>
        </w:rPr>
        <w:t>深化楼组老娘舅能力建设。</w:t>
      </w:r>
      <w:r>
        <w:rPr>
          <w:rFonts w:hint="eastAsia" w:ascii="仿宋" w:hAnsi="仿宋" w:eastAsia="仿宋" w:cs="仿宋"/>
          <w:sz w:val="32"/>
          <w:szCs w:val="32"/>
        </w:rPr>
        <w:t>充分发挥</w:t>
      </w:r>
      <w:r>
        <w:rPr>
          <w:rFonts w:hint="eastAsia" w:ascii="仿宋" w:hAnsi="仿宋" w:eastAsia="仿宋" w:cs="Times New Roman"/>
          <w:sz w:val="32"/>
          <w:szCs w:val="32"/>
        </w:rPr>
        <w:t>属地优势积极协助居民区开展疫情防控、纠纷排摸化解、法治宣传等工作，协助排查疫情防控工作以来返沪人员3341人次，运用“发现、处置、报告、反馈”工作机制参与排查和处置民间纠纷1619件次，这支队伍正逐步成为街道选拔、培养、反哺给居民区参与基层社会治理的一支重要补充力量。</w:t>
      </w:r>
    </w:p>
    <w:p>
      <w:pPr>
        <w:adjustRightInd w:val="0"/>
        <w:snapToGrid w:val="0"/>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二是打出法律服务“组合拳”。</w:t>
      </w:r>
      <w:r>
        <w:rPr>
          <w:rFonts w:hint="eastAsia" w:ascii="仿宋" w:hAnsi="仿宋" w:eastAsia="仿宋"/>
          <w:bCs/>
          <w:sz w:val="32"/>
          <w:szCs w:val="32"/>
        </w:rPr>
        <w:t>发挥好法律服务保障支撑作用，</w:t>
      </w:r>
      <w:r>
        <w:rPr>
          <w:rFonts w:hint="eastAsia" w:ascii="仿宋" w:hAnsi="仿宋" w:eastAsia="仿宋" w:cs="楷体"/>
          <w:sz w:val="32"/>
          <w:szCs w:val="32"/>
        </w:rPr>
        <w:t>快速回应居民区疫情防控、文明城区创建、依法协助行政事务工作相关法律诉求，针对居委会出具居家隔离证明、业主网上募集慰问款、清理楼道堆物、居委会印章使用、监护人指定等事项给予法律指导。建立应诉响应保障机制，</w:t>
      </w:r>
      <w:r>
        <w:rPr>
          <w:rFonts w:hint="eastAsia" w:ascii="仿宋" w:hAnsi="仿宋" w:eastAsia="仿宋"/>
          <w:sz w:val="32"/>
          <w:szCs w:val="32"/>
        </w:rPr>
        <w:t>科学研判、积极应诉，力争保持零败诉。</w:t>
      </w:r>
      <w:r>
        <w:rPr>
          <w:rFonts w:hint="eastAsia" w:ascii="仿宋" w:hAnsi="仿宋" w:eastAsia="仿宋"/>
          <w:b/>
          <w:bCs/>
          <w:sz w:val="32"/>
          <w:szCs w:val="32"/>
        </w:rPr>
        <w:t>做实做优基层公共法律服务。</w:t>
      </w:r>
      <w:r>
        <w:rPr>
          <w:rFonts w:hint="eastAsia" w:ascii="仿宋" w:hAnsi="仿宋" w:eastAsia="仿宋"/>
          <w:sz w:val="32"/>
          <w:szCs w:val="32"/>
        </w:rPr>
        <w:t>举办“家门口”公益法律服务活动，法律顾问（律师）、公证员、人民调解员等进驻街道及居民区23个点位，“星期六我为你值班”公益法律接待181人次。全面推行“法到家”居村法律顾问微信小程序，有效实施居委法律顾问服务轨迹化管理与能效评估，优化和完善“定期+预约”服务模式，全年提供法律咨询458次、提供社会治理法律意见45次，开展主题宣讲53场次、受众1257人次。连续第三年编印基层司法行政工作年鉴。向上级积极输送人民陪审员28人，推荐法治带头人和法律明白人152人。</w:t>
      </w:r>
    </w:p>
    <w:p>
      <w:pPr>
        <w:adjustRightInd w:val="0"/>
        <w:snapToGrid w:val="0"/>
        <w:spacing w:line="560" w:lineRule="exact"/>
        <w:ind w:firstLine="643" w:firstLineChars="200"/>
        <w:rPr>
          <w:rFonts w:ascii="仿宋" w:hAnsi="仿宋" w:eastAsia="仿宋"/>
          <w:b/>
          <w:bCs/>
          <w:sz w:val="32"/>
          <w:szCs w:val="32"/>
        </w:rPr>
      </w:pPr>
      <w:r>
        <w:rPr>
          <w:rFonts w:hint="eastAsia" w:ascii="楷体" w:hAnsi="楷体" w:eastAsia="楷体"/>
          <w:b/>
          <w:bCs/>
          <w:sz w:val="32"/>
          <w:szCs w:val="32"/>
        </w:rPr>
        <w:t>（</w:t>
      </w:r>
      <w:r>
        <w:rPr>
          <w:rFonts w:hint="eastAsia" w:ascii="楷体" w:hAnsi="楷体" w:eastAsia="楷体"/>
          <w:b/>
          <w:bCs/>
          <w:sz w:val="32"/>
          <w:szCs w:val="32"/>
          <w:lang w:val="en-US" w:eastAsia="zh-CN"/>
        </w:rPr>
        <w:t>四</w:t>
      </w:r>
      <w:r>
        <w:rPr>
          <w:rFonts w:hint="eastAsia" w:ascii="楷体" w:hAnsi="楷体" w:eastAsia="楷体"/>
          <w:b/>
          <w:bCs/>
          <w:sz w:val="32"/>
          <w:szCs w:val="32"/>
        </w:rPr>
        <w:t>）开创法治宣传“新风尚”。</w:t>
      </w:r>
      <w:r>
        <w:rPr>
          <w:rFonts w:hint="eastAsia" w:ascii="仿宋" w:hAnsi="仿宋" w:eastAsia="仿宋" w:cs="方正仿宋_GB18030"/>
          <w:bCs/>
          <w:sz w:val="32"/>
          <w:szCs w:val="32"/>
        </w:rPr>
        <w:t>落实集中学法制度</w:t>
      </w:r>
      <w:r>
        <w:rPr>
          <w:rFonts w:hint="eastAsia" w:ascii="仿宋" w:hAnsi="仿宋" w:eastAsia="仿宋"/>
          <w:sz w:val="32"/>
          <w:szCs w:val="32"/>
        </w:rPr>
        <w:t>，组织开展深入学习贯彻习近平总书记全面依法治国新理念新思想新战略、学习宣传宪法法律、民法典专题培训等系列学法和普法活动4次，进一步提升了街居工作人员的中国特色社会主义法治理论素养和依法行政及依法治理能力。专题组织</w:t>
      </w:r>
      <w:r>
        <w:rPr>
          <w:rFonts w:ascii="仿宋" w:hAnsi="仿宋" w:eastAsia="仿宋"/>
          <w:sz w:val="32"/>
          <w:szCs w:val="32"/>
        </w:rPr>
        <w:t>学习新区保密</w:t>
      </w:r>
      <w:r>
        <w:rPr>
          <w:rFonts w:hint="eastAsia" w:ascii="仿宋" w:hAnsi="仿宋" w:eastAsia="仿宋"/>
          <w:sz w:val="32"/>
          <w:szCs w:val="32"/>
        </w:rPr>
        <w:t>教育宣传片和</w:t>
      </w:r>
      <w:r>
        <w:rPr>
          <w:rFonts w:ascii="仿宋" w:hAnsi="仿宋" w:eastAsia="仿宋"/>
          <w:sz w:val="32"/>
          <w:szCs w:val="32"/>
        </w:rPr>
        <w:t>失密泄密警示案例</w:t>
      </w:r>
      <w:r>
        <w:rPr>
          <w:rFonts w:hint="eastAsia" w:ascii="仿宋" w:hAnsi="仿宋" w:eastAsia="仿宋"/>
          <w:sz w:val="32"/>
          <w:szCs w:val="32"/>
        </w:rPr>
        <w:t>，组织新进公务员和</w:t>
      </w:r>
      <w:r>
        <w:rPr>
          <w:rFonts w:ascii="仿宋" w:hAnsi="仿宋" w:eastAsia="仿宋"/>
          <w:sz w:val="32"/>
          <w:szCs w:val="32"/>
        </w:rPr>
        <w:t>新入职</w:t>
      </w:r>
      <w:r>
        <w:rPr>
          <w:rFonts w:hint="eastAsia" w:ascii="仿宋" w:hAnsi="仿宋" w:eastAsia="仿宋"/>
          <w:sz w:val="32"/>
          <w:szCs w:val="32"/>
        </w:rPr>
        <w:t>社</w:t>
      </w:r>
      <w:r>
        <w:rPr>
          <w:rFonts w:ascii="仿宋" w:hAnsi="仿宋" w:eastAsia="仿宋"/>
          <w:sz w:val="32"/>
          <w:szCs w:val="32"/>
        </w:rPr>
        <w:t>工</w:t>
      </w:r>
      <w:r>
        <w:rPr>
          <w:rFonts w:hint="eastAsia" w:ascii="仿宋" w:hAnsi="仿宋" w:eastAsia="仿宋"/>
          <w:sz w:val="32"/>
          <w:szCs w:val="32"/>
        </w:rPr>
        <w:t>学习《保密法》、《保密法实施细则》等保密基础知识，强化</w:t>
      </w:r>
      <w:r>
        <w:rPr>
          <w:rFonts w:ascii="仿宋" w:hAnsi="仿宋" w:eastAsia="仿宋"/>
          <w:sz w:val="32"/>
          <w:szCs w:val="32"/>
        </w:rPr>
        <w:t>红线意识</w:t>
      </w:r>
      <w:r>
        <w:rPr>
          <w:rFonts w:hint="eastAsia" w:ascii="仿宋" w:hAnsi="仿宋" w:eastAsia="仿宋"/>
          <w:sz w:val="32"/>
          <w:szCs w:val="32"/>
        </w:rPr>
        <w:t>和</w:t>
      </w:r>
      <w:r>
        <w:rPr>
          <w:rFonts w:ascii="仿宋" w:hAnsi="仿宋" w:eastAsia="仿宋"/>
          <w:sz w:val="32"/>
          <w:szCs w:val="32"/>
        </w:rPr>
        <w:t>底线</w:t>
      </w:r>
      <w:r>
        <w:rPr>
          <w:rFonts w:hint="eastAsia" w:ascii="仿宋" w:hAnsi="仿宋" w:eastAsia="仿宋"/>
          <w:sz w:val="32"/>
          <w:szCs w:val="32"/>
        </w:rPr>
        <w:t>思维。</w:t>
      </w:r>
      <w:r>
        <w:rPr>
          <w:rFonts w:hint="eastAsia" w:ascii="仿宋" w:hAnsi="仿宋" w:eastAsia="仿宋" w:cs="方正仿宋_GB18030"/>
          <w:b/>
          <w:bCs/>
          <w:sz w:val="32"/>
          <w:szCs w:val="32"/>
        </w:rPr>
        <w:t>创新和融合普法宣传。</w:t>
      </w:r>
      <w:r>
        <w:rPr>
          <w:rFonts w:hint="eastAsia" w:ascii="仿宋" w:hAnsi="仿宋" w:eastAsia="仿宋"/>
          <w:sz w:val="32"/>
          <w:szCs w:val="32"/>
        </w:rPr>
        <w:t>举办“疫情防控法治同行”5·18大型社区普法、12·4国家宪法宣传周主题活动，采用云课堂、云普法、云服务等形式，集中展现法治对疫情防控、公民权利保障、爱国主义教育等的服务保障和规范引导作用，覆盖青少年、机关工作人员、居民群众等8900余人次</w:t>
      </w:r>
      <w:bookmarkStart w:id="0" w:name="_Hlk49808956"/>
      <w:r>
        <w:rPr>
          <w:rFonts w:hint="eastAsia" w:ascii="仿宋" w:hAnsi="仿宋" w:eastAsia="仿宋"/>
          <w:sz w:val="32"/>
          <w:szCs w:val="32"/>
        </w:rPr>
        <w:t>。中小幼普法一体化运行方案基本成型，</w:t>
      </w:r>
      <w:r>
        <w:rPr>
          <w:rFonts w:hint="eastAsia" w:ascii="仿宋" w:hAnsi="仿宋" w:eastAsia="仿宋" w:cs="楷体"/>
          <w:sz w:val="32"/>
          <w:szCs w:val="32"/>
        </w:rPr>
        <w:t>依托一个阵地载体、两项品牌主题、三融合三贯通理念、四阶段受众层级、五大系统授课主题，着力推动青少年普法精准落地</w:t>
      </w:r>
      <w:r>
        <w:rPr>
          <w:rFonts w:hint="eastAsia" w:ascii="仿宋" w:hAnsi="仿宋" w:eastAsia="仿宋"/>
          <w:sz w:val="32"/>
          <w:szCs w:val="32"/>
        </w:rPr>
        <w:t>。街道青少年法治教育实践基地9月举办了今年第一场模拟庭审活动。</w:t>
      </w:r>
      <w:bookmarkEnd w:id="0"/>
    </w:p>
    <w:p>
      <w:pPr>
        <w:adjustRightInd w:val="0"/>
        <w:snapToGrid w:val="0"/>
        <w:spacing w:line="560" w:lineRule="exact"/>
        <w:ind w:firstLine="643" w:firstLineChars="200"/>
        <w:rPr>
          <w:rFonts w:ascii="黑体" w:hAnsi="黑体" w:eastAsia="黑体"/>
          <w:b/>
          <w:sz w:val="32"/>
          <w:szCs w:val="32"/>
        </w:rPr>
      </w:pPr>
      <w:r>
        <w:rPr>
          <w:rFonts w:hint="eastAsia" w:ascii="黑体" w:hAnsi="黑体" w:eastAsia="黑体"/>
          <w:b/>
          <w:sz w:val="32"/>
          <w:szCs w:val="32"/>
        </w:rPr>
        <w:t>二、存在的不足和原因</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街道在2020年度推进法治政府</w:t>
      </w:r>
      <w:bookmarkStart w:id="1" w:name="_GoBack"/>
      <w:bookmarkEnd w:id="1"/>
      <w:r>
        <w:rPr>
          <w:rFonts w:hint="eastAsia" w:ascii="仿宋" w:hAnsi="仿宋" w:eastAsia="仿宋"/>
          <w:sz w:val="32"/>
          <w:szCs w:val="32"/>
        </w:rPr>
        <w:t>建设中存在的问题和不足主要有：</w:t>
      </w:r>
      <w:r>
        <w:rPr>
          <w:rFonts w:hint="eastAsia" w:ascii="仿宋" w:hAnsi="仿宋" w:eastAsia="仿宋"/>
          <w:b/>
          <w:bCs/>
          <w:sz w:val="32"/>
          <w:szCs w:val="32"/>
        </w:rPr>
        <w:t>一是部分普法人员法治素养与法治工作要求不相适应。</w:t>
      </w:r>
      <w:r>
        <w:rPr>
          <w:rFonts w:hint="eastAsia" w:ascii="仿宋" w:hAnsi="仿宋" w:eastAsia="仿宋"/>
          <w:sz w:val="32"/>
          <w:szCs w:val="32"/>
        </w:rPr>
        <w:t>体现在法律咨询专业不强、普法宣传深度不够、内容不精等问题，在一定程度上制约了基层依法行政和公共法律服务的水平。</w:t>
      </w:r>
      <w:r>
        <w:rPr>
          <w:rFonts w:hint="eastAsia" w:ascii="仿宋" w:hAnsi="仿宋" w:eastAsia="仿宋" w:cs="方正仿宋_GB18030"/>
          <w:b/>
          <w:sz w:val="32"/>
          <w:szCs w:val="32"/>
        </w:rPr>
        <w:t>二是多元纠纷化解协同作战还需强化。</w:t>
      </w:r>
      <w:r>
        <w:rPr>
          <w:rFonts w:hint="eastAsia" w:ascii="仿宋" w:hAnsi="仿宋" w:eastAsia="仿宋"/>
          <w:sz w:val="32"/>
          <w:szCs w:val="32"/>
        </w:rPr>
        <w:t>针对疑难复杂纠纷，部门习惯于单兵作战，人民调解在民间纠纷以外领域发挥作用的空间有限。部门专业力量、司法所调解优势、居民区属地优势未形成合力。</w:t>
      </w:r>
      <w:r>
        <w:rPr>
          <w:rFonts w:hint="eastAsia" w:ascii="仿宋" w:hAnsi="仿宋" w:eastAsia="仿宋"/>
          <w:b/>
          <w:bCs/>
          <w:sz w:val="32"/>
          <w:szCs w:val="32"/>
        </w:rPr>
        <w:t>三是基层公共法律服务供给与社会需求未能完全匹配。</w:t>
      </w:r>
      <w:r>
        <w:rPr>
          <w:rFonts w:hint="eastAsia" w:ascii="仿宋" w:hAnsi="仿宋" w:eastAsia="仿宋"/>
          <w:sz w:val="32"/>
          <w:szCs w:val="32"/>
        </w:rPr>
        <w:t>例如，居民区“志愿结对”的居委会法律顾问服务供给未能完全满足当下居民区法律需求，线上线下公共法律服务资源的归集、呈现和宣传不够导致群众知晓率较低。</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导致上述问题和不足的深层次原因，主要在于基层工作人员法治素养与法治工作要求不相适应的问题仍然较为突出。机关及居民区运用法治思维和法治方式开展工作、解决问题、推动发展的能力还有较大的提升空间，责任意识和担当意识仍需增强。</w:t>
      </w:r>
    </w:p>
    <w:p>
      <w:pPr>
        <w:spacing w:line="520" w:lineRule="exact"/>
        <w:ind w:firstLine="643" w:firstLineChars="200"/>
        <w:rPr>
          <w:rFonts w:ascii="黑体" w:hAnsi="黑体" w:eastAsia="黑体"/>
          <w:sz w:val="32"/>
          <w:szCs w:val="32"/>
        </w:rPr>
      </w:pPr>
      <w:r>
        <w:rPr>
          <w:rFonts w:hint="eastAsia" w:ascii="黑体" w:hAnsi="黑体" w:eastAsia="黑体"/>
          <w:b/>
          <w:sz w:val="32"/>
          <w:szCs w:val="32"/>
        </w:rPr>
        <w:t>三、本单位主要负责人推进法治政府建设履职情况</w:t>
      </w:r>
    </w:p>
    <w:p>
      <w:pPr>
        <w:widowControl/>
        <w:adjustRightInd w:val="0"/>
        <w:snapToGrid w:val="0"/>
        <w:spacing w:line="560" w:lineRule="exact"/>
        <w:ind w:firstLine="640" w:firstLineChars="200"/>
        <w:rPr>
          <w:rFonts w:ascii="楷体" w:hAnsi="楷体" w:eastAsia="楷体"/>
          <w:sz w:val="32"/>
          <w:szCs w:val="32"/>
        </w:rPr>
      </w:pPr>
      <w:r>
        <w:rPr>
          <w:rFonts w:hint="eastAsia" w:ascii="仿宋_GB2312" w:hAnsi="仿宋_GB2312" w:eastAsia="仿宋_GB2312" w:cs="仿宋_GB2312"/>
          <w:color w:val="000000"/>
          <w:kern w:val="0"/>
          <w:sz w:val="32"/>
          <w:szCs w:val="32"/>
        </w:rPr>
        <w:t>街道认真落实《浦东新区推行党政主要负责人法治建设责任制的规定》，抓住“关键少数”,将街道党政主要负责人履行基层法治建设第一责任情况纳入法治建设责任制考核。</w:t>
      </w:r>
    </w:p>
    <w:p>
      <w:pPr>
        <w:numPr>
          <w:ilvl w:val="0"/>
          <w:numId w:val="1"/>
        </w:numPr>
        <w:adjustRightInd w:val="0"/>
        <w:snapToGrid w:val="0"/>
        <w:spacing w:line="520" w:lineRule="exact"/>
        <w:ind w:firstLine="630" w:firstLineChars="196"/>
        <w:rPr>
          <w:rFonts w:ascii="楷体" w:hAnsi="楷体" w:eastAsia="楷体"/>
          <w:b/>
          <w:bCs/>
          <w:sz w:val="32"/>
          <w:szCs w:val="32"/>
        </w:rPr>
      </w:pPr>
      <w:r>
        <w:rPr>
          <w:rFonts w:hint="eastAsia" w:ascii="楷体" w:hAnsi="楷体" w:eastAsia="楷体"/>
          <w:b/>
          <w:bCs/>
          <w:sz w:val="32"/>
          <w:szCs w:val="32"/>
        </w:rPr>
        <w:t>党政主要负责人履行推进法治建设第一责任人职责情况</w:t>
      </w:r>
    </w:p>
    <w:p>
      <w:pPr>
        <w:adjustRightInd w:val="0"/>
        <w:snapToGrid w:val="0"/>
        <w:spacing w:line="520" w:lineRule="exact"/>
        <w:ind w:firstLine="643" w:firstLineChars="200"/>
        <w:rPr>
          <w:rFonts w:ascii="仿宋" w:hAnsi="仿宋" w:eastAsia="仿宋"/>
          <w:sz w:val="32"/>
          <w:szCs w:val="32"/>
        </w:rPr>
      </w:pPr>
      <w:r>
        <w:rPr>
          <w:rFonts w:hint="eastAsia" w:ascii="仿宋" w:hAnsi="仿宋" w:eastAsia="仿宋" w:cs="方正仿宋_GB18030"/>
          <w:b/>
          <w:sz w:val="32"/>
          <w:szCs w:val="32"/>
        </w:rPr>
        <w:t>一是高站位推进法治建设。</w:t>
      </w:r>
      <w:r>
        <w:rPr>
          <w:rFonts w:hint="eastAsia" w:ascii="仿宋" w:hAnsi="仿宋" w:eastAsia="仿宋"/>
          <w:sz w:val="32"/>
          <w:szCs w:val="32"/>
        </w:rPr>
        <w:t>党政主要负责人亲自部署安排习近平总书记全面依法治国新理念新思想新战略专题学习以及宪法法律和党内法规系统培训，注重对照上级决策部署研究谋划“法治社区”、“法治东明”整体工作，用理论武装思想，推动党员领导干部和全体工作人员法治思维和法治方式养成。</w:t>
      </w:r>
    </w:p>
    <w:p>
      <w:pPr>
        <w:adjustRightInd w:val="0"/>
        <w:snapToGrid w:val="0"/>
        <w:spacing w:line="520" w:lineRule="exact"/>
        <w:ind w:firstLine="643" w:firstLineChars="200"/>
        <w:rPr>
          <w:rFonts w:ascii="仿宋" w:hAnsi="仿宋" w:eastAsia="仿宋"/>
          <w:sz w:val="32"/>
          <w:szCs w:val="32"/>
        </w:rPr>
      </w:pPr>
      <w:r>
        <w:rPr>
          <w:rFonts w:hint="eastAsia" w:ascii="仿宋" w:hAnsi="仿宋" w:eastAsia="仿宋" w:cs="方正仿宋_GB18030"/>
          <w:b/>
          <w:sz w:val="32"/>
          <w:szCs w:val="32"/>
        </w:rPr>
        <w:t>二是高标准推进法治建设。</w:t>
      </w:r>
      <w:r>
        <w:rPr>
          <w:rFonts w:hint="eastAsia" w:ascii="仿宋" w:hAnsi="仿宋" w:eastAsia="仿宋"/>
          <w:sz w:val="32"/>
          <w:szCs w:val="32"/>
        </w:rPr>
        <w:t>党政主要负责人高度关注法治建设各项工作进展，党政主要领导担任全面依法治理委员会的主任、副主任，对“法治社区”和“法治东明”建设工作实施方案起草、合同风险排查、合同管理办法、“非诉讼纠纷一体化解决机制”、街居法律顾问队伍建设等重大工作和关键环节都作出重要指示或亲自部署协调。</w:t>
      </w:r>
    </w:p>
    <w:p>
      <w:pPr>
        <w:spacing w:line="520" w:lineRule="exact"/>
        <w:ind w:firstLine="643" w:firstLineChars="200"/>
        <w:rPr>
          <w:rFonts w:ascii="仿宋" w:hAnsi="仿宋" w:eastAsia="仿宋"/>
          <w:sz w:val="32"/>
          <w:szCs w:val="32"/>
        </w:rPr>
      </w:pPr>
      <w:r>
        <w:rPr>
          <w:rFonts w:hint="eastAsia" w:ascii="仿宋" w:hAnsi="仿宋" w:eastAsia="仿宋" w:cs="方正仿宋_GB18030"/>
          <w:b/>
          <w:sz w:val="32"/>
          <w:szCs w:val="32"/>
        </w:rPr>
        <w:t>三是高质量推进法治建设。</w:t>
      </w:r>
      <w:r>
        <w:rPr>
          <w:rFonts w:hint="eastAsia" w:ascii="仿宋" w:hAnsi="仿宋" w:eastAsia="仿宋"/>
          <w:sz w:val="32"/>
          <w:szCs w:val="32"/>
        </w:rPr>
        <w:t>法治思维和法治方式养成分层分类培训形成常态，邀请党校、高校、法学研究机构的资深专家学者讲授，通过理论中心组学习、集体学法、专题报告、座谈调研</w:t>
      </w:r>
      <w:r>
        <w:rPr>
          <w:rFonts w:ascii="仿宋" w:hAnsi="仿宋" w:eastAsia="仿宋"/>
          <w:sz w:val="32"/>
          <w:szCs w:val="32"/>
        </w:rPr>
        <w:t>等方式</w:t>
      </w:r>
      <w:r>
        <w:rPr>
          <w:rFonts w:hint="eastAsia" w:ascii="仿宋" w:hAnsi="仿宋" w:eastAsia="仿宋"/>
          <w:sz w:val="32"/>
          <w:szCs w:val="32"/>
        </w:rPr>
        <w:t>持续提升街居工作人员法治素养、增强依法履职意识。组织专门力量全面梳理法治政府建设情况，年度报告内容全面、数据详实、公开及时。</w:t>
      </w:r>
    </w:p>
    <w:p>
      <w:pPr>
        <w:adjustRightInd w:val="0"/>
        <w:snapToGrid w:val="0"/>
        <w:spacing w:line="520" w:lineRule="exact"/>
        <w:ind w:firstLine="630" w:firstLineChars="196"/>
        <w:rPr>
          <w:rFonts w:ascii="楷体" w:hAnsi="楷体" w:eastAsia="楷体"/>
          <w:sz w:val="32"/>
          <w:szCs w:val="32"/>
        </w:rPr>
      </w:pPr>
      <w:r>
        <w:rPr>
          <w:rFonts w:hint="eastAsia" w:ascii="楷体" w:hAnsi="楷体" w:eastAsia="楷体"/>
          <w:b/>
          <w:bCs/>
          <w:sz w:val="32"/>
          <w:szCs w:val="32"/>
        </w:rPr>
        <w:t>（二）党工委主要负责人履行推进法治建设情况</w:t>
      </w:r>
    </w:p>
    <w:p>
      <w:pPr>
        <w:spacing w:line="520" w:lineRule="exact"/>
        <w:ind w:firstLine="643" w:firstLineChars="200"/>
        <w:rPr>
          <w:rFonts w:ascii="仿宋" w:hAnsi="仿宋" w:eastAsia="仿宋"/>
          <w:sz w:val="32"/>
          <w:szCs w:val="32"/>
        </w:rPr>
      </w:pPr>
      <w:r>
        <w:rPr>
          <w:rFonts w:hint="eastAsia" w:ascii="仿宋" w:hAnsi="仿宋" w:eastAsia="仿宋"/>
          <w:b/>
          <w:bCs/>
          <w:sz w:val="32"/>
          <w:szCs w:val="32"/>
        </w:rPr>
        <w:t>一是加强组织领导。</w:t>
      </w:r>
      <w:r>
        <w:rPr>
          <w:rFonts w:hint="eastAsia" w:ascii="仿宋" w:hAnsi="仿宋" w:eastAsia="仿宋"/>
          <w:sz w:val="32"/>
          <w:szCs w:val="32"/>
        </w:rPr>
        <w:t>深入贯彻落实《关于全面加强和改进基层法治建设的意见》文件精神，充分发挥司法所在基层法治建设工作中的主力先锋作用以及对街道和居民区的法律支撑作用，完善党工委专题研究部署法治建设工作机制，明确了司法所所长列席主任办公会制度。</w:t>
      </w:r>
    </w:p>
    <w:p>
      <w:pPr>
        <w:adjustRightInd w:val="0"/>
        <w:snapToGrid w:val="0"/>
        <w:spacing w:line="520" w:lineRule="exact"/>
        <w:ind w:firstLine="643" w:firstLineChars="200"/>
        <w:rPr>
          <w:rFonts w:ascii="仿宋" w:hAnsi="仿宋" w:eastAsia="仿宋"/>
          <w:sz w:val="32"/>
          <w:szCs w:val="32"/>
        </w:rPr>
      </w:pPr>
      <w:r>
        <w:rPr>
          <w:rFonts w:hint="eastAsia" w:ascii="仿宋" w:hAnsi="仿宋" w:eastAsia="仿宋"/>
          <w:b/>
          <w:bCs/>
          <w:sz w:val="32"/>
          <w:szCs w:val="32"/>
        </w:rPr>
        <w:t>二是牵头科学谋划。</w:t>
      </w:r>
      <w:r>
        <w:rPr>
          <w:rFonts w:hint="eastAsia" w:ascii="仿宋" w:hAnsi="仿宋" w:eastAsia="仿宋"/>
          <w:sz w:val="32"/>
          <w:szCs w:val="32"/>
        </w:rPr>
        <w:t>前瞻性地将基层法治建设纳入党工委每年度中心任务以及“宜居东明”总体规划予以系统推进。2017-2019年法治社区建设三年行动计划圆满收官，2020年正式开启新一轮“法治东明”建设。2021-202</w:t>
      </w:r>
      <w:r>
        <w:rPr>
          <w:rFonts w:ascii="仿宋" w:hAnsi="仿宋" w:eastAsia="仿宋"/>
          <w:sz w:val="32"/>
          <w:szCs w:val="32"/>
        </w:rPr>
        <w:t>3</w:t>
      </w:r>
      <w:r>
        <w:rPr>
          <w:rFonts w:hint="eastAsia" w:ascii="仿宋" w:hAnsi="仿宋" w:eastAsia="仿宋"/>
          <w:sz w:val="32"/>
          <w:szCs w:val="32"/>
        </w:rPr>
        <w:t>年“法治东明”建设三年规划也正在抓紧编制中，“法治东明”的重要内涵将予以专篇规划。</w:t>
      </w:r>
    </w:p>
    <w:p>
      <w:pPr>
        <w:adjustRightInd w:val="0"/>
        <w:snapToGrid w:val="0"/>
        <w:spacing w:line="520" w:lineRule="exact"/>
        <w:ind w:firstLine="643" w:firstLineChars="200"/>
        <w:rPr>
          <w:rFonts w:ascii="仿宋" w:hAnsi="仿宋" w:eastAsia="仿宋"/>
          <w:sz w:val="32"/>
          <w:szCs w:val="32"/>
        </w:rPr>
      </w:pPr>
      <w:r>
        <w:rPr>
          <w:rFonts w:hint="eastAsia" w:ascii="仿宋" w:hAnsi="仿宋" w:eastAsia="仿宋"/>
          <w:b/>
          <w:bCs/>
          <w:sz w:val="32"/>
          <w:szCs w:val="32"/>
        </w:rPr>
        <w:t>三是强调专业合作。</w:t>
      </w:r>
      <w:r>
        <w:rPr>
          <w:rFonts w:hint="eastAsia" w:ascii="仿宋" w:hAnsi="仿宋" w:eastAsia="仿宋"/>
          <w:sz w:val="32"/>
          <w:szCs w:val="32"/>
        </w:rPr>
        <w:t>续聘北京大成（上海）律师事务所担任常年法律顾问，</w:t>
      </w:r>
      <w:r>
        <w:rPr>
          <w:rFonts w:hint="eastAsia" w:ascii="仿宋" w:hAnsi="仿宋" w:eastAsia="仿宋" w:cs="宋体"/>
          <w:sz w:val="32"/>
          <w:szCs w:val="32"/>
        </w:rPr>
        <w:t>参与重大决策和文件合法性审查；充分发挥居委会法律顾问在小区依法治理、矛盾纠纷化解中的积极作用</w:t>
      </w:r>
      <w:r>
        <w:rPr>
          <w:rFonts w:hint="eastAsia" w:ascii="仿宋" w:hAnsi="仿宋" w:eastAsia="仿宋"/>
          <w:sz w:val="32"/>
          <w:szCs w:val="32"/>
        </w:rPr>
        <w:t>。积极吸纳律师、人民调解员、法官、检察官、法学专家等专业人士加入街道普法讲师团队伍，开展精准普法，营造浓郁法治文化氛围。</w:t>
      </w:r>
    </w:p>
    <w:p>
      <w:pPr>
        <w:spacing w:line="520" w:lineRule="exact"/>
        <w:ind w:firstLine="570"/>
        <w:rPr>
          <w:rFonts w:ascii="仿宋" w:hAnsi="仿宋" w:eastAsia="仿宋"/>
          <w:sz w:val="32"/>
          <w:szCs w:val="32"/>
        </w:rPr>
      </w:pPr>
      <w:r>
        <w:rPr>
          <w:rFonts w:hint="eastAsia" w:ascii="仿宋" w:hAnsi="仿宋" w:eastAsia="仿宋"/>
          <w:b/>
          <w:bCs/>
          <w:sz w:val="32"/>
          <w:szCs w:val="32"/>
        </w:rPr>
        <w:t>四是注重干部培养。</w:t>
      </w:r>
      <w:r>
        <w:rPr>
          <w:rFonts w:hint="eastAsia" w:ascii="仿宋" w:hAnsi="仿宋" w:eastAsia="仿宋"/>
          <w:sz w:val="32"/>
          <w:szCs w:val="32"/>
        </w:rPr>
        <w:t>通过党工委会、党政办公（扩大）会、民主生活会、个别谈话教育等形式，对街道各级党员领导干部进行依法履职思想教育。选优配强法制干部，鼓励支持街道公职人员参加国家法律统一职业资格考试，并推荐3名公务员担任街道公职律师。将法治素养和法治能力培养纳入街道干部队伍整体培训计划。</w:t>
      </w:r>
    </w:p>
    <w:p>
      <w:pPr>
        <w:adjustRightInd w:val="0"/>
        <w:snapToGrid w:val="0"/>
        <w:spacing w:line="520" w:lineRule="exact"/>
        <w:ind w:firstLine="630" w:firstLineChars="196"/>
        <w:rPr>
          <w:rFonts w:ascii="楷体" w:hAnsi="楷体" w:eastAsia="楷体"/>
          <w:b/>
          <w:bCs/>
          <w:sz w:val="32"/>
          <w:szCs w:val="32"/>
        </w:rPr>
      </w:pPr>
      <w:r>
        <w:rPr>
          <w:rFonts w:hint="eastAsia" w:ascii="楷体" w:hAnsi="楷体" w:eastAsia="楷体"/>
          <w:b/>
          <w:bCs/>
          <w:sz w:val="32"/>
          <w:szCs w:val="32"/>
        </w:rPr>
        <w:t>（三）行政主要负责人履行主体职责推进法治政府建设情况</w:t>
      </w:r>
    </w:p>
    <w:p>
      <w:pPr>
        <w:spacing w:line="520" w:lineRule="exact"/>
        <w:ind w:firstLine="643" w:firstLineChars="200"/>
        <w:rPr>
          <w:rFonts w:ascii="仿宋" w:hAnsi="仿宋" w:eastAsia="仿宋"/>
          <w:sz w:val="32"/>
          <w:szCs w:val="32"/>
        </w:rPr>
      </w:pPr>
      <w:r>
        <w:rPr>
          <w:rFonts w:hint="eastAsia" w:ascii="仿宋" w:hAnsi="仿宋" w:eastAsia="仿宋"/>
          <w:b/>
          <w:bCs/>
          <w:sz w:val="32"/>
          <w:szCs w:val="32"/>
        </w:rPr>
        <w:t>一是形成法治政府年度工作要点。</w:t>
      </w:r>
      <w:r>
        <w:rPr>
          <w:rFonts w:hint="eastAsia" w:ascii="仿宋" w:hAnsi="仿宋" w:eastAsia="仿宋"/>
          <w:sz w:val="32"/>
          <w:szCs w:val="32"/>
        </w:rPr>
        <w:t>召集相关部门深入研究商议，明确了优化街道政务公开发布审核机制、试行</w:t>
      </w:r>
      <w:r>
        <w:rPr>
          <w:rFonts w:hint="eastAsia" w:ascii="仿宋" w:hAnsi="仿宋" w:eastAsia="仿宋" w:cs="楷体"/>
          <w:sz w:val="32"/>
          <w:szCs w:val="32"/>
        </w:rPr>
        <w:t>街道合同网上法制审核、</w:t>
      </w:r>
      <w:r>
        <w:rPr>
          <w:rFonts w:hint="eastAsia" w:ascii="仿宋" w:hAnsi="仿宋" w:eastAsia="仿宋"/>
          <w:sz w:val="32"/>
          <w:szCs w:val="32"/>
        </w:rPr>
        <w:t>开展基层行政执法补短板专题调研、指导居民区“法治小区”创建、培育楼组老娘舅、推动中小幼普法一体化等多项法治政府建设年度重点工作。</w:t>
      </w:r>
    </w:p>
    <w:p>
      <w:pPr>
        <w:spacing w:line="520" w:lineRule="exact"/>
        <w:ind w:firstLine="570"/>
        <w:rPr>
          <w:rFonts w:ascii="仿宋" w:hAnsi="仿宋" w:eastAsia="仿宋"/>
          <w:sz w:val="32"/>
          <w:szCs w:val="32"/>
        </w:rPr>
      </w:pPr>
      <w:r>
        <w:rPr>
          <w:rFonts w:hint="eastAsia" w:ascii="仿宋" w:hAnsi="仿宋" w:eastAsia="仿宋"/>
          <w:b/>
          <w:bCs/>
          <w:sz w:val="32"/>
          <w:szCs w:val="32"/>
        </w:rPr>
        <w:t>二是调整优化依法行政制度机制。</w:t>
      </w:r>
      <w:r>
        <w:rPr>
          <w:rFonts w:hint="eastAsia" w:ascii="仿宋" w:hAnsi="仿宋" w:eastAsia="仿宋"/>
          <w:sz w:val="32"/>
          <w:szCs w:val="32"/>
        </w:rPr>
        <w:t>牵头梳理党政办公室和司法所有关法治建设工作职责分工。严格落实司法所所长列席主任办公会制度和街道法律顾问制度，为重大行政决策合法性、合理性、可行性等进行法律审核。亲自部署合同法律风险排查工作，指导司法所制定《东明路街道合同管理办法》（试行），进一步防范法律风险。</w:t>
      </w:r>
    </w:p>
    <w:p>
      <w:pPr>
        <w:spacing w:line="520" w:lineRule="exact"/>
        <w:ind w:firstLine="570"/>
      </w:pPr>
      <w:r>
        <w:rPr>
          <w:rFonts w:hint="eastAsia" w:ascii="仿宋" w:hAnsi="仿宋" w:eastAsia="仿宋"/>
          <w:b/>
          <w:bCs/>
          <w:sz w:val="32"/>
          <w:szCs w:val="32"/>
        </w:rPr>
        <w:t>三是督促落实普法责任制。</w:t>
      </w:r>
      <w:r>
        <w:rPr>
          <w:rFonts w:hint="eastAsia" w:ascii="仿宋" w:hAnsi="仿宋" w:eastAsia="仿宋"/>
          <w:sz w:val="32"/>
          <w:szCs w:val="32"/>
        </w:rPr>
        <w:t>督促各职能部门围绕“七五”</w:t>
      </w:r>
      <w:r>
        <w:rPr>
          <w:rFonts w:hint="eastAsia" w:ascii="仿宋" w:hAnsi="仿宋" w:eastAsia="仿宋" w:cs="Times New Roman"/>
          <w:sz w:val="32"/>
          <w:szCs w:val="32"/>
        </w:rPr>
        <w:t>法治宣传教育活动总体部署，按照“谁执法谁普法”工作要求，大力宣传与社会公众学习工作生活密切相关的法律法规，加强以党员领导干部、社区青少年、社区工作者、楼组老娘舅为重点的普法教育，做实以案释法、体验式普法，探索多样化、精准化的普法新模式。</w:t>
      </w:r>
    </w:p>
    <w:p>
      <w:pPr>
        <w:spacing w:line="520" w:lineRule="exact"/>
        <w:ind w:firstLine="642"/>
        <w:rPr>
          <w:rFonts w:ascii="黑体" w:hAnsi="黑体" w:eastAsia="黑体"/>
          <w:bCs/>
          <w:sz w:val="32"/>
          <w:szCs w:val="32"/>
        </w:rPr>
      </w:pPr>
      <w:r>
        <w:rPr>
          <w:rFonts w:hint="eastAsia" w:ascii="黑体" w:hAnsi="黑体" w:eastAsia="黑体"/>
          <w:b/>
          <w:sz w:val="32"/>
          <w:szCs w:val="32"/>
        </w:rPr>
        <w:t>四、2021年度法治政府建设工作总体安排</w:t>
      </w:r>
    </w:p>
    <w:p>
      <w:pPr>
        <w:adjustRightInd w:val="0"/>
        <w:snapToGrid w:val="0"/>
        <w:spacing w:line="560" w:lineRule="exact"/>
        <w:ind w:firstLine="640" w:firstLineChars="200"/>
        <w:rPr>
          <w:rFonts w:ascii="仿宋" w:hAnsi="仿宋" w:eastAsia="仿宋" w:cs="楷体"/>
          <w:sz w:val="32"/>
          <w:szCs w:val="32"/>
        </w:rPr>
      </w:pPr>
      <w:r>
        <w:rPr>
          <w:rFonts w:hint="eastAsia" w:ascii="仿宋" w:hAnsi="仿宋" w:eastAsia="仿宋" w:cs="楷体"/>
          <w:sz w:val="32"/>
          <w:szCs w:val="32"/>
        </w:rPr>
        <w:t>202</w:t>
      </w:r>
      <w:r>
        <w:rPr>
          <w:rFonts w:ascii="仿宋" w:hAnsi="仿宋" w:eastAsia="仿宋" w:cs="楷体"/>
          <w:sz w:val="32"/>
          <w:szCs w:val="32"/>
        </w:rPr>
        <w:t>1</w:t>
      </w:r>
      <w:r>
        <w:rPr>
          <w:rFonts w:hint="eastAsia" w:ascii="仿宋" w:hAnsi="仿宋" w:eastAsia="仿宋" w:cs="楷体"/>
          <w:sz w:val="32"/>
          <w:szCs w:val="32"/>
        </w:rPr>
        <w:t>年，东明路街道将深入学习贯彻《浦东新区全面加强和改进基层法治建设实施意见》精神要求，坚持以落实法治建设责任制为指引，在全面回顾总结过去四年法治建设经验做法的基础上，科学谋划和加快推动“法治东明”建设三年行动规划，让基层法治建设在东明结出新硕果、再上新台阶。</w:t>
      </w:r>
    </w:p>
    <w:p>
      <w:pPr>
        <w:spacing w:line="520" w:lineRule="exact"/>
        <w:ind w:firstLine="643" w:firstLineChars="200"/>
        <w:rPr>
          <w:rFonts w:ascii="仿宋" w:hAnsi="仿宋" w:eastAsia="仿宋"/>
          <w:bCs/>
          <w:sz w:val="32"/>
          <w:szCs w:val="32"/>
        </w:rPr>
      </w:pPr>
      <w:r>
        <w:rPr>
          <w:rFonts w:hint="eastAsia" w:ascii="仿宋" w:hAnsi="仿宋" w:eastAsia="仿宋"/>
          <w:b/>
          <w:sz w:val="32"/>
          <w:szCs w:val="32"/>
        </w:rPr>
        <w:t>一是统筹和推进法治建设。</w:t>
      </w:r>
      <w:r>
        <w:rPr>
          <w:rFonts w:hint="eastAsia" w:ascii="仿宋" w:hAnsi="仿宋" w:eastAsia="仿宋"/>
          <w:sz w:val="32"/>
          <w:szCs w:val="32"/>
        </w:rPr>
        <w:t>科学谋划“法治东明”建设三年行动规划。在全面依法治理委员会的领导下，服务大局，围绕街道中心工作来谋划“法治东明”建设，</w:t>
      </w:r>
      <w:r>
        <w:rPr>
          <w:rFonts w:hint="eastAsia" w:ascii="仿宋" w:hAnsi="仿宋" w:eastAsia="仿宋" w:cs="楷体"/>
          <w:sz w:val="32"/>
          <w:szCs w:val="32"/>
        </w:rPr>
        <w:t>从政府和社会两个层面同时发力，明确未来三年法治建设的主要目标和具体举措，同时以项目化的形式打造重点项目和重要成果，让基层法治建设在东明结出新硕果、再上新台阶。继续推进机关事业干部集中学法制度，坚持用习近平新时代中国特色社会主义思想武装头脑、指导工作，</w:t>
      </w:r>
      <w:r>
        <w:rPr>
          <w:rFonts w:hint="eastAsia" w:ascii="仿宋" w:hAnsi="仿宋" w:eastAsia="仿宋"/>
          <w:bCs/>
          <w:sz w:val="32"/>
          <w:szCs w:val="32"/>
        </w:rPr>
        <w:t>以中心组（扩大）学习、专题辅导报告等形式深入学习贯彻习近平总书记全面依法治国新理念新思想新战略，加强宪法及民法典学习宣传和贯彻落实，每半年至少开展一次法治培训。牵头组织开展“尊崇宪法、学习宪法、遵守宪法、维护宪法、运用宪法”以及学习宣传法律法规系列活动。</w:t>
      </w:r>
    </w:p>
    <w:p>
      <w:pPr>
        <w:widowControl/>
        <w:adjustRightInd w:val="0"/>
        <w:snapToGrid w:val="0"/>
        <w:spacing w:line="560" w:lineRule="exact"/>
        <w:ind w:firstLine="643" w:firstLineChars="200"/>
        <w:rPr>
          <w:rFonts w:ascii="仿宋" w:hAnsi="仿宋" w:eastAsia="仿宋"/>
          <w:snapToGrid w:val="0"/>
          <w:spacing w:val="-4"/>
          <w:kern w:val="0"/>
          <w:sz w:val="32"/>
          <w:szCs w:val="32"/>
        </w:rPr>
      </w:pPr>
      <w:r>
        <w:rPr>
          <w:rFonts w:hint="eastAsia" w:ascii="仿宋" w:hAnsi="仿宋" w:eastAsia="仿宋"/>
          <w:b/>
          <w:sz w:val="32"/>
          <w:szCs w:val="32"/>
        </w:rPr>
        <w:t>二是服务和保障依法行政。</w:t>
      </w:r>
      <w:r>
        <w:rPr>
          <w:rFonts w:hint="eastAsia" w:ascii="仿宋" w:hAnsi="仿宋" w:eastAsia="仿宋"/>
          <w:bCs/>
          <w:sz w:val="32"/>
          <w:szCs w:val="32"/>
        </w:rPr>
        <w:t>司法所继续发挥基层法治建设工作中的主力先锋作用以及对街道和居民区的法律支撑作用。规范做好相关规范性文件的</w:t>
      </w:r>
      <w:r>
        <w:rPr>
          <w:rFonts w:hint="eastAsia" w:ascii="仿宋" w:hAnsi="仿宋" w:eastAsia="仿宋" w:cs="仿宋"/>
          <w:bCs/>
          <w:kern w:val="0"/>
          <w:sz w:val="32"/>
          <w:szCs w:val="32"/>
          <w:u w:color="C45911"/>
          <w:lang w:val="zh-TW"/>
        </w:rPr>
        <w:t>备案</w:t>
      </w:r>
      <w:r>
        <w:rPr>
          <w:rFonts w:hint="eastAsia" w:ascii="仿宋" w:hAnsi="仿宋" w:eastAsia="仿宋"/>
          <w:bCs/>
          <w:sz w:val="32"/>
          <w:szCs w:val="32"/>
          <w:lang w:val="zh-TW"/>
        </w:rPr>
        <w:t>工作。</w:t>
      </w:r>
      <w:r>
        <w:rPr>
          <w:rFonts w:hint="eastAsia" w:ascii="仿宋" w:hAnsi="仿宋" w:eastAsia="仿宋"/>
          <w:bCs/>
          <w:sz w:val="32"/>
          <w:szCs w:val="32"/>
        </w:rPr>
        <w:t>根据上级要求，继续完善街道政务公开信息编制和发布审核机制，做好政务公开相关数据更新工作。定期</w:t>
      </w:r>
      <w:r>
        <w:rPr>
          <w:rFonts w:hint="eastAsia" w:ascii="仿宋" w:hAnsi="仿宋" w:eastAsia="仿宋" w:cs="楷体"/>
          <w:bCs/>
          <w:sz w:val="32"/>
          <w:szCs w:val="32"/>
        </w:rPr>
        <w:t>举办居委会依法协助行政事务法制培训。</w:t>
      </w:r>
      <w:r>
        <w:rPr>
          <w:rFonts w:hint="eastAsia" w:ascii="仿宋" w:hAnsi="仿宋" w:eastAsia="仿宋" w:cs="楷体"/>
          <w:sz w:val="32"/>
          <w:szCs w:val="32"/>
        </w:rPr>
        <w:t>加强</w:t>
      </w:r>
      <w:r>
        <w:rPr>
          <w:rFonts w:hint="eastAsia" w:ascii="仿宋" w:hAnsi="仿宋" w:eastAsia="仿宋"/>
          <w:snapToGrid w:val="0"/>
          <w:spacing w:val="-4"/>
          <w:kern w:val="0"/>
          <w:sz w:val="32"/>
          <w:szCs w:val="32"/>
        </w:rPr>
        <w:t>法治宣传教育</w:t>
      </w:r>
      <w:r>
        <w:rPr>
          <w:rFonts w:hint="eastAsia" w:ascii="仿宋" w:hAnsi="仿宋" w:eastAsia="仿宋" w:cs="楷体"/>
          <w:sz w:val="32"/>
          <w:szCs w:val="32"/>
        </w:rPr>
        <w:t>队伍</w:t>
      </w:r>
      <w:r>
        <w:rPr>
          <w:rFonts w:hint="eastAsia" w:ascii="仿宋" w:hAnsi="仿宋" w:eastAsia="仿宋"/>
          <w:snapToGrid w:val="0"/>
          <w:spacing w:val="-4"/>
          <w:kern w:val="0"/>
          <w:sz w:val="32"/>
          <w:szCs w:val="32"/>
        </w:rPr>
        <w:t>建设，年初形成年度培训计划，</w:t>
      </w:r>
      <w:r>
        <w:rPr>
          <w:rFonts w:hint="eastAsia" w:ascii="仿宋" w:hAnsi="仿宋" w:eastAsia="仿宋" w:cs="楷体"/>
          <w:sz w:val="32"/>
          <w:szCs w:val="32"/>
        </w:rPr>
        <w:t>邀请专业讲师团分层分类开展</w:t>
      </w:r>
      <w:r>
        <w:rPr>
          <w:rFonts w:hint="eastAsia" w:ascii="仿宋" w:hAnsi="仿宋" w:eastAsia="仿宋"/>
          <w:snapToGrid w:val="0"/>
          <w:spacing w:val="-4"/>
          <w:kern w:val="0"/>
          <w:sz w:val="32"/>
          <w:szCs w:val="32"/>
        </w:rPr>
        <w:t>培训。</w:t>
      </w:r>
    </w:p>
    <w:p>
      <w:pPr>
        <w:widowControl/>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三是推动和完善依法治理。</w:t>
      </w:r>
      <w:r>
        <w:rPr>
          <w:rFonts w:hint="eastAsia" w:ascii="仿宋" w:hAnsi="仿宋" w:eastAsia="仿宋"/>
          <w:bCs/>
          <w:sz w:val="32"/>
          <w:szCs w:val="32"/>
        </w:rPr>
        <w:t>坚持传承和发展“枫桥经验”，</w:t>
      </w:r>
      <w:r>
        <w:rPr>
          <w:rFonts w:hint="eastAsia" w:ascii="仿宋" w:hAnsi="仿宋" w:eastAsia="仿宋" w:cs="仿宋_GB2312"/>
          <w:bCs/>
          <w:color w:val="000000"/>
          <w:spacing w:val="-11"/>
          <w:sz w:val="32"/>
          <w:szCs w:val="32"/>
        </w:rPr>
        <w:t>全面推进</w:t>
      </w:r>
      <w:r>
        <w:rPr>
          <w:rFonts w:hint="eastAsia" w:ascii="仿宋" w:hAnsi="仿宋" w:eastAsia="仿宋"/>
          <w:bCs/>
          <w:sz w:val="32"/>
          <w:szCs w:val="32"/>
        </w:rPr>
        <w:t>非诉讼纠纷一体化解决机制，总结提炼机制运行工作成效，定期扩容</w:t>
      </w:r>
      <w:r>
        <w:rPr>
          <w:rFonts w:hint="eastAsia" w:ascii="仿宋" w:hAnsi="仿宋" w:eastAsia="仿宋" w:cs="仿宋"/>
          <w:sz w:val="32"/>
          <w:szCs w:val="32"/>
          <w:lang w:val="zh-TW" w:eastAsia="zh-TW"/>
        </w:rPr>
        <w:t>纠纷事项正面清单，</w:t>
      </w:r>
      <w:r>
        <w:rPr>
          <w:rFonts w:hint="eastAsia" w:ascii="仿宋" w:hAnsi="仿宋" w:eastAsia="仿宋"/>
          <w:bCs/>
          <w:sz w:val="32"/>
          <w:szCs w:val="32"/>
        </w:rPr>
        <w:t>增强群众获得感幸福感安全感，为推行基层纠纷多元化解决机制助力增能。</w:t>
      </w:r>
      <w:r>
        <w:rPr>
          <w:rFonts w:hint="eastAsia" w:ascii="仿宋" w:hAnsi="仿宋" w:eastAsia="仿宋"/>
          <w:bCs/>
          <w:snapToGrid w:val="0"/>
          <w:spacing w:val="-4"/>
          <w:kern w:val="0"/>
          <w:sz w:val="32"/>
          <w:szCs w:val="32"/>
        </w:rPr>
        <w:t>开展人民调解分层分类培训，指导</w:t>
      </w:r>
      <w:r>
        <w:rPr>
          <w:rFonts w:hint="eastAsia" w:ascii="仿宋" w:hAnsi="仿宋" w:eastAsia="仿宋" w:cs="宋体"/>
          <w:bCs/>
          <w:color w:val="000000"/>
          <w:sz w:val="32"/>
          <w:szCs w:val="32"/>
        </w:rPr>
        <w:t>红梅调解工作室继续抓实</w:t>
      </w:r>
      <w:r>
        <w:rPr>
          <w:rFonts w:hint="eastAsia" w:ascii="仿宋" w:hAnsi="仿宋" w:eastAsia="仿宋"/>
          <w:bCs/>
          <w:sz w:val="32"/>
          <w:szCs w:val="32"/>
        </w:rPr>
        <w:t>“以案带教”，打造“全科调解员”和</w:t>
      </w:r>
      <w:r>
        <w:rPr>
          <w:rFonts w:hint="eastAsia" w:ascii="仿宋" w:hAnsi="仿宋" w:eastAsia="仿宋" w:cs="楷体"/>
          <w:bCs/>
          <w:sz w:val="32"/>
          <w:szCs w:val="32"/>
        </w:rPr>
        <w:t>楼组调解志愿服务队</w:t>
      </w:r>
      <w:r>
        <w:rPr>
          <w:rFonts w:hint="eastAsia" w:ascii="仿宋" w:hAnsi="仿宋" w:eastAsia="仿宋"/>
          <w:bCs/>
          <w:snapToGrid w:val="0"/>
          <w:spacing w:val="-4"/>
          <w:kern w:val="0"/>
          <w:sz w:val="32"/>
          <w:szCs w:val="32"/>
        </w:rPr>
        <w:t>。进一步提升诉调对接处置能力和纠纷化解能级。</w:t>
      </w:r>
      <w:r>
        <w:rPr>
          <w:rFonts w:hint="eastAsia" w:ascii="仿宋" w:hAnsi="仿宋" w:eastAsia="仿宋"/>
          <w:snapToGrid w:val="0"/>
          <w:spacing w:val="-4"/>
          <w:kern w:val="0"/>
          <w:sz w:val="32"/>
          <w:szCs w:val="32"/>
        </w:rPr>
        <w:t>编写《基层司法行政入门指南（2021版）》，努力</w:t>
      </w:r>
      <w:r>
        <w:rPr>
          <w:rFonts w:hint="eastAsia" w:ascii="仿宋" w:hAnsi="仿宋" w:eastAsia="仿宋" w:cs="楷体"/>
          <w:sz w:val="32"/>
          <w:szCs w:val="32"/>
        </w:rPr>
        <w:t>建设高素质基层法律服务工作队伍</w:t>
      </w:r>
      <w:r>
        <w:rPr>
          <w:rFonts w:hint="eastAsia" w:ascii="仿宋" w:hAnsi="仿宋" w:eastAsia="仿宋"/>
          <w:snapToGrid w:val="0"/>
          <w:spacing w:val="-4"/>
          <w:kern w:val="0"/>
          <w:sz w:val="32"/>
          <w:szCs w:val="32"/>
        </w:rPr>
        <w:t>。</w:t>
      </w:r>
    </w:p>
    <w:p>
      <w:pPr>
        <w:pStyle w:val="2"/>
        <w:adjustRightInd w:val="0"/>
        <w:snapToGrid w:val="0"/>
        <w:spacing w:line="560" w:lineRule="exact"/>
        <w:ind w:firstLine="643"/>
        <w:rPr>
          <w:rFonts w:ascii="仿宋" w:hAnsi="仿宋" w:eastAsia="仿宋" w:cs="楷体"/>
          <w:bCs/>
        </w:rPr>
      </w:pPr>
      <w:r>
        <w:rPr>
          <w:rFonts w:hint="eastAsia" w:ascii="仿宋" w:hAnsi="仿宋" w:eastAsia="仿宋" w:cs="宋体"/>
          <w:b/>
          <w:color w:val="000000"/>
        </w:rPr>
        <w:t>四是发展和巩固法治成果。</w:t>
      </w:r>
      <w:r>
        <w:rPr>
          <w:rFonts w:hint="eastAsia" w:ascii="仿宋" w:hAnsi="仿宋" w:eastAsia="仿宋" w:cs="宋体"/>
          <w:bCs/>
          <w:color w:val="000000"/>
        </w:rPr>
        <w:t>指导全国民主法治示范社区重点培育单位（金色雅筑）和第二批</w:t>
      </w:r>
      <w:r>
        <w:rPr>
          <w:rFonts w:hint="eastAsia" w:ascii="仿宋" w:hAnsi="仿宋" w:eastAsia="仿宋" w:cs="楷体"/>
          <w:bCs/>
        </w:rPr>
        <w:t>浦东新区民主法治社区创建单位（凌八居委会）可视化成果培育工作；下拨“法治小区”创建经费，鼓励居民区继续争创“法治小区”和新区民主法治社区。扩大公共法律服务政策和资源的实效宣传和立体呈现，凸出公共法律服务在党群服务中心功能定位。精准匹配居民区法律服务需求，在继续发扬居民区法律顾问“志愿结对”传统优势基础上，同步增加“购买服务”项目的补充供给，优化居委会法律顾问服务模式，进一步提高“家门口”法律服务和</w:t>
      </w:r>
      <w:r>
        <w:rPr>
          <w:rFonts w:hint="eastAsia" w:ascii="仿宋" w:hAnsi="仿宋" w:eastAsia="仿宋"/>
          <w:bCs/>
          <w:snapToGrid w:val="0"/>
          <w:spacing w:val="-4"/>
          <w:kern w:val="0"/>
        </w:rPr>
        <w:t>“星期六我为你值班”</w:t>
      </w:r>
      <w:r>
        <w:rPr>
          <w:rFonts w:hint="eastAsia" w:ascii="仿宋" w:hAnsi="仿宋" w:eastAsia="仿宋" w:cs="楷体"/>
          <w:bCs/>
        </w:rPr>
        <w:t>项目的群众获得感，推动居民区法律顾问</w:t>
      </w:r>
      <w:r>
        <w:rPr>
          <w:rFonts w:hint="eastAsia" w:ascii="仿宋" w:hAnsi="仿宋" w:eastAsia="仿宋"/>
          <w:bCs/>
          <w:snapToGrid w:val="0"/>
          <w:spacing w:val="-4"/>
          <w:kern w:val="0"/>
        </w:rPr>
        <w:t>参与基层社会治理工作形成长效。</w:t>
      </w:r>
      <w:r>
        <w:rPr>
          <w:rFonts w:hint="eastAsia" w:ascii="仿宋" w:hAnsi="仿宋" w:eastAsia="仿宋" w:cs="楷体"/>
          <w:bCs/>
        </w:rPr>
        <w:t>抓实矫正、安帮等特殊人群管控教育和个性帮扶，凸显教育感化实效。社区矫正对象实现零重犯，社区安置帮教对象重犯率力争低于全市平均水平。</w:t>
      </w:r>
    </w:p>
    <w:p>
      <w:pPr>
        <w:spacing w:line="520" w:lineRule="exact"/>
        <w:ind w:firstLine="560"/>
        <w:rPr>
          <w:rFonts w:ascii="仿宋" w:hAnsi="仿宋" w:eastAsia="仿宋"/>
          <w:sz w:val="32"/>
          <w:szCs w:val="32"/>
        </w:rPr>
      </w:pPr>
      <w:r>
        <w:rPr>
          <w:rFonts w:hint="eastAsia" w:ascii="仿宋" w:hAnsi="仿宋" w:eastAsia="仿宋" w:cs="楷体"/>
          <w:b/>
          <w:sz w:val="32"/>
          <w:szCs w:val="32"/>
        </w:rPr>
        <w:t>五是深化和创新融合普法。</w:t>
      </w:r>
      <w:r>
        <w:rPr>
          <w:rFonts w:hint="eastAsia" w:ascii="仿宋" w:hAnsi="仿宋" w:eastAsia="仿宋" w:cs="楷体"/>
          <w:bCs/>
          <w:sz w:val="32"/>
          <w:szCs w:val="32"/>
        </w:rPr>
        <w:t>与第三方专业普法机构合作，抓好中小幼普法一体化学习体验实践课程落地。凸出宣传实效和成果展示，培育1支法治基地“小小宣讲员”队伍，打造2套系统特色课程，呈现3个模拟法庭经典剧本展演，以特色服务清单供给辐射辖区青少年需求，着力青少年法治教育实践基地全面投入使用并向辖区学校开放，培育和发展符合东明特点的青少年法治宣传教育品牌项目和文化内涵。传承“</w:t>
      </w:r>
      <w:r>
        <w:rPr>
          <w:rFonts w:hint="eastAsia" w:ascii="仿宋" w:hAnsi="仿宋" w:eastAsia="仿宋" w:cs="Tahoma"/>
          <w:bCs/>
          <w:kern w:val="0"/>
          <w:sz w:val="32"/>
          <w:szCs w:val="32"/>
        </w:rPr>
        <w:t>5</w:t>
      </w:r>
      <w:r>
        <w:rPr>
          <w:rFonts w:hint="eastAsia" w:ascii="仿宋" w:hAnsi="仿宋" w:eastAsia="仿宋" w:cs="思源黑体 CN"/>
          <w:bCs/>
          <w:kern w:val="0"/>
          <w:sz w:val="32"/>
          <w:szCs w:val="32"/>
        </w:rPr>
        <w:t>·</w:t>
      </w:r>
      <w:r>
        <w:rPr>
          <w:rFonts w:hint="eastAsia" w:ascii="仿宋" w:hAnsi="仿宋" w:eastAsia="仿宋" w:cs="Tahoma"/>
          <w:bCs/>
          <w:kern w:val="0"/>
          <w:sz w:val="32"/>
          <w:szCs w:val="32"/>
        </w:rPr>
        <w:t>18</w:t>
      </w:r>
      <w:r>
        <w:rPr>
          <w:rFonts w:hint="eastAsia" w:ascii="仿宋" w:hAnsi="仿宋" w:eastAsia="仿宋" w:cs="楷体"/>
          <w:bCs/>
          <w:sz w:val="32"/>
          <w:szCs w:val="32"/>
        </w:rPr>
        <w:t>”</w:t>
      </w:r>
      <w:r>
        <w:rPr>
          <w:rFonts w:hint="eastAsia" w:ascii="仿宋" w:hAnsi="仿宋" w:eastAsia="仿宋" w:cs="Tahoma"/>
          <w:bCs/>
          <w:kern w:val="0"/>
          <w:sz w:val="32"/>
          <w:szCs w:val="32"/>
        </w:rPr>
        <w:t>、“12</w:t>
      </w:r>
      <w:r>
        <w:rPr>
          <w:rFonts w:hint="eastAsia" w:ascii="仿宋" w:hAnsi="仿宋" w:eastAsia="仿宋" w:cs="思源黑体 CN"/>
          <w:bCs/>
          <w:kern w:val="0"/>
          <w:sz w:val="32"/>
          <w:szCs w:val="32"/>
        </w:rPr>
        <w:t>·</w:t>
      </w:r>
      <w:r>
        <w:rPr>
          <w:rFonts w:hint="eastAsia" w:ascii="仿宋" w:hAnsi="仿宋" w:eastAsia="仿宋" w:cs="Tahoma"/>
          <w:bCs/>
          <w:kern w:val="0"/>
          <w:sz w:val="32"/>
          <w:szCs w:val="32"/>
        </w:rPr>
        <w:t>4”特色普法品牌，</w:t>
      </w:r>
      <w:r>
        <w:rPr>
          <w:rFonts w:hint="eastAsia" w:ascii="仿宋" w:hAnsi="仿宋" w:eastAsia="仿宋"/>
          <w:sz w:val="32"/>
          <w:szCs w:val="32"/>
        </w:rPr>
        <w:t>继续推进社区普法，将疫情防控、环境综合整治、文明创建、群租整治等社区治理重难点融入法治宣传，提高法治讲堂菜单的精准度，增强以案释法的敏锐性和主动性，推动高质量精准普法。加大法治文化社区投放，</w:t>
      </w:r>
      <w:r>
        <w:rPr>
          <w:rFonts w:hint="eastAsia" w:ascii="仿宋" w:hAnsi="仿宋" w:eastAsia="仿宋" w:cs="楷体"/>
          <w:sz w:val="32"/>
          <w:szCs w:val="32"/>
        </w:rPr>
        <w:t>继续推进宪法进万家项目。落实“谁执法谁普法”责任制，加强法治宣传资源服务配送。</w:t>
      </w:r>
    </w:p>
    <w:p>
      <w:pPr>
        <w:spacing w:line="520" w:lineRule="exact"/>
        <w:ind w:firstLine="640"/>
        <w:rPr>
          <w:rFonts w:ascii="仿宋" w:hAnsi="仿宋" w:eastAsia="仿宋"/>
          <w:sz w:val="32"/>
          <w:szCs w:val="32"/>
        </w:rPr>
      </w:pPr>
    </w:p>
    <w:p>
      <w:pPr>
        <w:spacing w:line="520" w:lineRule="exact"/>
        <w:ind w:firstLine="642"/>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_GB18030">
    <w:altName w:val="仿宋"/>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思源黑体 CN">
    <w:altName w:val="黑体"/>
    <w:panose1 w:val="00000000000000000000"/>
    <w:charset w:val="86"/>
    <w:family w:val="auto"/>
    <w:pitch w:val="default"/>
    <w:sig w:usb0="00000000" w:usb1="00000000" w:usb2="00000016" w:usb3="00000000" w:csb0="6006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6911A"/>
    <w:multiLevelType w:val="singleLevel"/>
    <w:tmpl w:val="69B6911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450DD"/>
    <w:rsid w:val="00002E13"/>
    <w:rsid w:val="00015014"/>
    <w:rsid w:val="00016345"/>
    <w:rsid w:val="000313FD"/>
    <w:rsid w:val="00033929"/>
    <w:rsid w:val="000340B1"/>
    <w:rsid w:val="0004468E"/>
    <w:rsid w:val="00047B69"/>
    <w:rsid w:val="00047BA0"/>
    <w:rsid w:val="00074328"/>
    <w:rsid w:val="0008335E"/>
    <w:rsid w:val="00085573"/>
    <w:rsid w:val="000915B8"/>
    <w:rsid w:val="0009717B"/>
    <w:rsid w:val="000A390C"/>
    <w:rsid w:val="000B5CF8"/>
    <w:rsid w:val="000C584C"/>
    <w:rsid w:val="000C58A7"/>
    <w:rsid w:val="000E3905"/>
    <w:rsid w:val="000F0C75"/>
    <w:rsid w:val="000F3783"/>
    <w:rsid w:val="000F549E"/>
    <w:rsid w:val="000F647A"/>
    <w:rsid w:val="001043FD"/>
    <w:rsid w:val="00112C98"/>
    <w:rsid w:val="00115CFB"/>
    <w:rsid w:val="00147BC7"/>
    <w:rsid w:val="00151360"/>
    <w:rsid w:val="00154EB3"/>
    <w:rsid w:val="00161E70"/>
    <w:rsid w:val="001638AF"/>
    <w:rsid w:val="00170963"/>
    <w:rsid w:val="00180B26"/>
    <w:rsid w:val="00183F5A"/>
    <w:rsid w:val="00183F8D"/>
    <w:rsid w:val="0019190D"/>
    <w:rsid w:val="001937D6"/>
    <w:rsid w:val="001A6A5E"/>
    <w:rsid w:val="001C32F8"/>
    <w:rsid w:val="001D18A0"/>
    <w:rsid w:val="001D762B"/>
    <w:rsid w:val="001E253D"/>
    <w:rsid w:val="001F0327"/>
    <w:rsid w:val="001F3E6B"/>
    <w:rsid w:val="00201053"/>
    <w:rsid w:val="00201DC4"/>
    <w:rsid w:val="002027AE"/>
    <w:rsid w:val="002029C8"/>
    <w:rsid w:val="00203FA1"/>
    <w:rsid w:val="0021222A"/>
    <w:rsid w:val="002144B7"/>
    <w:rsid w:val="00216447"/>
    <w:rsid w:val="00221EC9"/>
    <w:rsid w:val="00227F99"/>
    <w:rsid w:val="002355CB"/>
    <w:rsid w:val="00242BC1"/>
    <w:rsid w:val="002437DD"/>
    <w:rsid w:val="002619B5"/>
    <w:rsid w:val="00262586"/>
    <w:rsid w:val="002645D1"/>
    <w:rsid w:val="002650F0"/>
    <w:rsid w:val="002665E1"/>
    <w:rsid w:val="0027134E"/>
    <w:rsid w:val="00282F0D"/>
    <w:rsid w:val="00283727"/>
    <w:rsid w:val="00293064"/>
    <w:rsid w:val="002A0AED"/>
    <w:rsid w:val="002A4C17"/>
    <w:rsid w:val="002B2B2B"/>
    <w:rsid w:val="002B6D0B"/>
    <w:rsid w:val="002B7212"/>
    <w:rsid w:val="002C0A8B"/>
    <w:rsid w:val="002C0E77"/>
    <w:rsid w:val="002C42C2"/>
    <w:rsid w:val="002C60CB"/>
    <w:rsid w:val="002C7368"/>
    <w:rsid w:val="002D77CE"/>
    <w:rsid w:val="00301828"/>
    <w:rsid w:val="003079E6"/>
    <w:rsid w:val="00312D18"/>
    <w:rsid w:val="0031459D"/>
    <w:rsid w:val="003255C0"/>
    <w:rsid w:val="003278EC"/>
    <w:rsid w:val="003312DC"/>
    <w:rsid w:val="00332EF7"/>
    <w:rsid w:val="00340779"/>
    <w:rsid w:val="0035024A"/>
    <w:rsid w:val="00351B55"/>
    <w:rsid w:val="00371362"/>
    <w:rsid w:val="00373D60"/>
    <w:rsid w:val="003829E9"/>
    <w:rsid w:val="0038417B"/>
    <w:rsid w:val="003841F5"/>
    <w:rsid w:val="00391ED8"/>
    <w:rsid w:val="00392AB8"/>
    <w:rsid w:val="00392AD3"/>
    <w:rsid w:val="00392C0B"/>
    <w:rsid w:val="003956DC"/>
    <w:rsid w:val="0039707F"/>
    <w:rsid w:val="003A3FF5"/>
    <w:rsid w:val="003D1CA1"/>
    <w:rsid w:val="003D3CBE"/>
    <w:rsid w:val="003E1B7F"/>
    <w:rsid w:val="003E2AD3"/>
    <w:rsid w:val="003E7176"/>
    <w:rsid w:val="003F6763"/>
    <w:rsid w:val="00400727"/>
    <w:rsid w:val="00406405"/>
    <w:rsid w:val="004066A9"/>
    <w:rsid w:val="004077A2"/>
    <w:rsid w:val="00414BA6"/>
    <w:rsid w:val="00417333"/>
    <w:rsid w:val="00417BC1"/>
    <w:rsid w:val="00436E85"/>
    <w:rsid w:val="00446A81"/>
    <w:rsid w:val="00452F14"/>
    <w:rsid w:val="004531DB"/>
    <w:rsid w:val="00466E87"/>
    <w:rsid w:val="00472330"/>
    <w:rsid w:val="00476F16"/>
    <w:rsid w:val="00480B4C"/>
    <w:rsid w:val="0048462D"/>
    <w:rsid w:val="00484EFD"/>
    <w:rsid w:val="004925EF"/>
    <w:rsid w:val="00493DA3"/>
    <w:rsid w:val="00494B91"/>
    <w:rsid w:val="004952A9"/>
    <w:rsid w:val="004B0DE5"/>
    <w:rsid w:val="004B5D60"/>
    <w:rsid w:val="004C63C9"/>
    <w:rsid w:val="004C7B22"/>
    <w:rsid w:val="004C7FFE"/>
    <w:rsid w:val="004D500C"/>
    <w:rsid w:val="004D530C"/>
    <w:rsid w:val="004D71B6"/>
    <w:rsid w:val="004F4DAE"/>
    <w:rsid w:val="00503ABE"/>
    <w:rsid w:val="00505F6F"/>
    <w:rsid w:val="00516F3D"/>
    <w:rsid w:val="005262AE"/>
    <w:rsid w:val="00526740"/>
    <w:rsid w:val="0053408E"/>
    <w:rsid w:val="00552061"/>
    <w:rsid w:val="0055344B"/>
    <w:rsid w:val="00580B17"/>
    <w:rsid w:val="005A1EFD"/>
    <w:rsid w:val="005A3FA8"/>
    <w:rsid w:val="005B3633"/>
    <w:rsid w:val="005C21C5"/>
    <w:rsid w:val="005E4806"/>
    <w:rsid w:val="005E4955"/>
    <w:rsid w:val="005E6008"/>
    <w:rsid w:val="005E7684"/>
    <w:rsid w:val="005F64C6"/>
    <w:rsid w:val="00604121"/>
    <w:rsid w:val="00616310"/>
    <w:rsid w:val="00616AEC"/>
    <w:rsid w:val="00617BDE"/>
    <w:rsid w:val="00634B9A"/>
    <w:rsid w:val="0063718C"/>
    <w:rsid w:val="006454DB"/>
    <w:rsid w:val="00655602"/>
    <w:rsid w:val="0065653B"/>
    <w:rsid w:val="006638C0"/>
    <w:rsid w:val="00663D0E"/>
    <w:rsid w:val="00665996"/>
    <w:rsid w:val="00670486"/>
    <w:rsid w:val="00680688"/>
    <w:rsid w:val="00684697"/>
    <w:rsid w:val="00693234"/>
    <w:rsid w:val="00695BED"/>
    <w:rsid w:val="006A3CA1"/>
    <w:rsid w:val="006D0D08"/>
    <w:rsid w:val="006E161B"/>
    <w:rsid w:val="006E3CD2"/>
    <w:rsid w:val="006E5A46"/>
    <w:rsid w:val="006F5383"/>
    <w:rsid w:val="006F6C33"/>
    <w:rsid w:val="006F6F38"/>
    <w:rsid w:val="0070492A"/>
    <w:rsid w:val="007057EE"/>
    <w:rsid w:val="007111D4"/>
    <w:rsid w:val="00713F30"/>
    <w:rsid w:val="007152A4"/>
    <w:rsid w:val="007450DD"/>
    <w:rsid w:val="00746309"/>
    <w:rsid w:val="0075601A"/>
    <w:rsid w:val="00771746"/>
    <w:rsid w:val="00777C2B"/>
    <w:rsid w:val="00787C6E"/>
    <w:rsid w:val="007A2913"/>
    <w:rsid w:val="007B2A47"/>
    <w:rsid w:val="007B44BF"/>
    <w:rsid w:val="007C1C9D"/>
    <w:rsid w:val="007C5215"/>
    <w:rsid w:val="007D2BD3"/>
    <w:rsid w:val="007D3065"/>
    <w:rsid w:val="007D4286"/>
    <w:rsid w:val="007D648A"/>
    <w:rsid w:val="007E2D75"/>
    <w:rsid w:val="007E3118"/>
    <w:rsid w:val="007F0950"/>
    <w:rsid w:val="007F5D28"/>
    <w:rsid w:val="00810AAE"/>
    <w:rsid w:val="008121AE"/>
    <w:rsid w:val="00813818"/>
    <w:rsid w:val="00813962"/>
    <w:rsid w:val="0082722E"/>
    <w:rsid w:val="00842BF9"/>
    <w:rsid w:val="00842F49"/>
    <w:rsid w:val="00847283"/>
    <w:rsid w:val="00851BB3"/>
    <w:rsid w:val="008525EE"/>
    <w:rsid w:val="00853664"/>
    <w:rsid w:val="00860AD3"/>
    <w:rsid w:val="00864164"/>
    <w:rsid w:val="00872C68"/>
    <w:rsid w:val="0088558F"/>
    <w:rsid w:val="008934EE"/>
    <w:rsid w:val="008948ED"/>
    <w:rsid w:val="00895066"/>
    <w:rsid w:val="008A1B4B"/>
    <w:rsid w:val="008A4380"/>
    <w:rsid w:val="008A5646"/>
    <w:rsid w:val="008C0E56"/>
    <w:rsid w:val="008C2A9F"/>
    <w:rsid w:val="008C59A9"/>
    <w:rsid w:val="008D051F"/>
    <w:rsid w:val="008D17FB"/>
    <w:rsid w:val="00903DFD"/>
    <w:rsid w:val="00913087"/>
    <w:rsid w:val="0091400D"/>
    <w:rsid w:val="00917394"/>
    <w:rsid w:val="009252E6"/>
    <w:rsid w:val="00927AD6"/>
    <w:rsid w:val="0093134B"/>
    <w:rsid w:val="00940913"/>
    <w:rsid w:val="00947B1F"/>
    <w:rsid w:val="0095636A"/>
    <w:rsid w:val="00965DD9"/>
    <w:rsid w:val="009714D4"/>
    <w:rsid w:val="009726B1"/>
    <w:rsid w:val="009819DE"/>
    <w:rsid w:val="009A7326"/>
    <w:rsid w:val="009B1307"/>
    <w:rsid w:val="009C1A8B"/>
    <w:rsid w:val="009D1F63"/>
    <w:rsid w:val="009D38A2"/>
    <w:rsid w:val="009D5E53"/>
    <w:rsid w:val="009E3B17"/>
    <w:rsid w:val="009F11A7"/>
    <w:rsid w:val="00A1756A"/>
    <w:rsid w:val="00A237B5"/>
    <w:rsid w:val="00A42527"/>
    <w:rsid w:val="00A47E5F"/>
    <w:rsid w:val="00A50426"/>
    <w:rsid w:val="00A53C4A"/>
    <w:rsid w:val="00A56C5C"/>
    <w:rsid w:val="00A572E2"/>
    <w:rsid w:val="00A63A3A"/>
    <w:rsid w:val="00A6584E"/>
    <w:rsid w:val="00A6599C"/>
    <w:rsid w:val="00A6678C"/>
    <w:rsid w:val="00A86E2A"/>
    <w:rsid w:val="00A91487"/>
    <w:rsid w:val="00A92E9A"/>
    <w:rsid w:val="00A95933"/>
    <w:rsid w:val="00A96C2C"/>
    <w:rsid w:val="00AA2893"/>
    <w:rsid w:val="00AA584C"/>
    <w:rsid w:val="00AC10D5"/>
    <w:rsid w:val="00AD6640"/>
    <w:rsid w:val="00AD79D4"/>
    <w:rsid w:val="00AE4E6D"/>
    <w:rsid w:val="00AE4E74"/>
    <w:rsid w:val="00B00E72"/>
    <w:rsid w:val="00B026FF"/>
    <w:rsid w:val="00B11A00"/>
    <w:rsid w:val="00B20951"/>
    <w:rsid w:val="00B23385"/>
    <w:rsid w:val="00B254A6"/>
    <w:rsid w:val="00B35E4E"/>
    <w:rsid w:val="00B40F9F"/>
    <w:rsid w:val="00B4354C"/>
    <w:rsid w:val="00B45BC4"/>
    <w:rsid w:val="00B502FC"/>
    <w:rsid w:val="00B50CAF"/>
    <w:rsid w:val="00B635CA"/>
    <w:rsid w:val="00B85868"/>
    <w:rsid w:val="00B87491"/>
    <w:rsid w:val="00BC097B"/>
    <w:rsid w:val="00BC2CEC"/>
    <w:rsid w:val="00BD0FD2"/>
    <w:rsid w:val="00BD1A61"/>
    <w:rsid w:val="00BD5A67"/>
    <w:rsid w:val="00BD5D12"/>
    <w:rsid w:val="00BE0605"/>
    <w:rsid w:val="00BF4155"/>
    <w:rsid w:val="00BF4844"/>
    <w:rsid w:val="00C02C30"/>
    <w:rsid w:val="00C06181"/>
    <w:rsid w:val="00C26F65"/>
    <w:rsid w:val="00C31B0F"/>
    <w:rsid w:val="00C40BD0"/>
    <w:rsid w:val="00C52428"/>
    <w:rsid w:val="00C61561"/>
    <w:rsid w:val="00C67A3D"/>
    <w:rsid w:val="00C712AF"/>
    <w:rsid w:val="00C73FAE"/>
    <w:rsid w:val="00C8405A"/>
    <w:rsid w:val="00C93B3E"/>
    <w:rsid w:val="00CA307F"/>
    <w:rsid w:val="00CA3EB3"/>
    <w:rsid w:val="00CA590E"/>
    <w:rsid w:val="00CB3286"/>
    <w:rsid w:val="00CB3DA2"/>
    <w:rsid w:val="00CB5A26"/>
    <w:rsid w:val="00CC16A7"/>
    <w:rsid w:val="00CC3D4D"/>
    <w:rsid w:val="00CC650B"/>
    <w:rsid w:val="00CD203A"/>
    <w:rsid w:val="00CD219E"/>
    <w:rsid w:val="00CD2CD8"/>
    <w:rsid w:val="00CD44D5"/>
    <w:rsid w:val="00CD6386"/>
    <w:rsid w:val="00CE546C"/>
    <w:rsid w:val="00CF1913"/>
    <w:rsid w:val="00CF793C"/>
    <w:rsid w:val="00D012A0"/>
    <w:rsid w:val="00D062C8"/>
    <w:rsid w:val="00D153E4"/>
    <w:rsid w:val="00D20C2B"/>
    <w:rsid w:val="00D22AD1"/>
    <w:rsid w:val="00D249B5"/>
    <w:rsid w:val="00D25220"/>
    <w:rsid w:val="00D52BB0"/>
    <w:rsid w:val="00D64E05"/>
    <w:rsid w:val="00D678B5"/>
    <w:rsid w:val="00D7262F"/>
    <w:rsid w:val="00D84931"/>
    <w:rsid w:val="00D93653"/>
    <w:rsid w:val="00D958B0"/>
    <w:rsid w:val="00DA0B18"/>
    <w:rsid w:val="00DA2096"/>
    <w:rsid w:val="00DA26DB"/>
    <w:rsid w:val="00DB0FB7"/>
    <w:rsid w:val="00DB390C"/>
    <w:rsid w:val="00DC1C52"/>
    <w:rsid w:val="00DD1DAA"/>
    <w:rsid w:val="00DE0AD5"/>
    <w:rsid w:val="00DE55B1"/>
    <w:rsid w:val="00DF0E30"/>
    <w:rsid w:val="00DF38DD"/>
    <w:rsid w:val="00E03779"/>
    <w:rsid w:val="00E046C2"/>
    <w:rsid w:val="00E07BE3"/>
    <w:rsid w:val="00E1245F"/>
    <w:rsid w:val="00E13616"/>
    <w:rsid w:val="00E15F0F"/>
    <w:rsid w:val="00E1639A"/>
    <w:rsid w:val="00E203CC"/>
    <w:rsid w:val="00E20603"/>
    <w:rsid w:val="00E23941"/>
    <w:rsid w:val="00E30C6E"/>
    <w:rsid w:val="00E30EB3"/>
    <w:rsid w:val="00E329C3"/>
    <w:rsid w:val="00E37F1A"/>
    <w:rsid w:val="00E40D9F"/>
    <w:rsid w:val="00E413FC"/>
    <w:rsid w:val="00E47206"/>
    <w:rsid w:val="00E50AD3"/>
    <w:rsid w:val="00E53D3C"/>
    <w:rsid w:val="00E550EE"/>
    <w:rsid w:val="00E64E50"/>
    <w:rsid w:val="00E659A6"/>
    <w:rsid w:val="00E725C0"/>
    <w:rsid w:val="00E8154A"/>
    <w:rsid w:val="00E845FE"/>
    <w:rsid w:val="00EA1AD5"/>
    <w:rsid w:val="00EB27A5"/>
    <w:rsid w:val="00EB2D22"/>
    <w:rsid w:val="00EC4264"/>
    <w:rsid w:val="00EC735B"/>
    <w:rsid w:val="00ED265D"/>
    <w:rsid w:val="00ED4EC5"/>
    <w:rsid w:val="00ED5485"/>
    <w:rsid w:val="00EE3349"/>
    <w:rsid w:val="00EE4AF9"/>
    <w:rsid w:val="00EE64EC"/>
    <w:rsid w:val="00EF346C"/>
    <w:rsid w:val="00EF450B"/>
    <w:rsid w:val="00EF7848"/>
    <w:rsid w:val="00F022A4"/>
    <w:rsid w:val="00F060AB"/>
    <w:rsid w:val="00F0767C"/>
    <w:rsid w:val="00F11E06"/>
    <w:rsid w:val="00F124F3"/>
    <w:rsid w:val="00F12683"/>
    <w:rsid w:val="00F225AA"/>
    <w:rsid w:val="00F30FF4"/>
    <w:rsid w:val="00F31D6C"/>
    <w:rsid w:val="00F331CF"/>
    <w:rsid w:val="00F439F4"/>
    <w:rsid w:val="00F44472"/>
    <w:rsid w:val="00F52C56"/>
    <w:rsid w:val="00F650F0"/>
    <w:rsid w:val="00F67801"/>
    <w:rsid w:val="00F75886"/>
    <w:rsid w:val="00F84D07"/>
    <w:rsid w:val="00F90DE4"/>
    <w:rsid w:val="00F9419B"/>
    <w:rsid w:val="00FA2610"/>
    <w:rsid w:val="00FA5A07"/>
    <w:rsid w:val="00FB2F93"/>
    <w:rsid w:val="00FB7D64"/>
    <w:rsid w:val="00FC6B21"/>
    <w:rsid w:val="00FD284A"/>
    <w:rsid w:val="00FE031C"/>
    <w:rsid w:val="00FE699A"/>
    <w:rsid w:val="00FF4784"/>
    <w:rsid w:val="00FF5781"/>
    <w:rsid w:val="00FF6753"/>
    <w:rsid w:val="05E90A92"/>
    <w:rsid w:val="08F35918"/>
    <w:rsid w:val="09E03135"/>
    <w:rsid w:val="0B101800"/>
    <w:rsid w:val="0CEB3F0D"/>
    <w:rsid w:val="0D312C27"/>
    <w:rsid w:val="0DEF1528"/>
    <w:rsid w:val="0EA36C71"/>
    <w:rsid w:val="13F911F9"/>
    <w:rsid w:val="146A08D8"/>
    <w:rsid w:val="14B427FD"/>
    <w:rsid w:val="15294BBA"/>
    <w:rsid w:val="1BC74936"/>
    <w:rsid w:val="1F4E33A7"/>
    <w:rsid w:val="20855F6E"/>
    <w:rsid w:val="21587DAA"/>
    <w:rsid w:val="229F227C"/>
    <w:rsid w:val="22FA354D"/>
    <w:rsid w:val="26BA2661"/>
    <w:rsid w:val="27A11560"/>
    <w:rsid w:val="29A87930"/>
    <w:rsid w:val="29B11D74"/>
    <w:rsid w:val="2B151011"/>
    <w:rsid w:val="2C1E5425"/>
    <w:rsid w:val="2C661982"/>
    <w:rsid w:val="2D233DDB"/>
    <w:rsid w:val="2D826A17"/>
    <w:rsid w:val="2E5705D1"/>
    <w:rsid w:val="2F520C8A"/>
    <w:rsid w:val="30E255AE"/>
    <w:rsid w:val="31392272"/>
    <w:rsid w:val="31D20EDD"/>
    <w:rsid w:val="35FB40BE"/>
    <w:rsid w:val="37A103E7"/>
    <w:rsid w:val="37E652E0"/>
    <w:rsid w:val="41435210"/>
    <w:rsid w:val="420D3C1C"/>
    <w:rsid w:val="4BDFA30F"/>
    <w:rsid w:val="4C3F202E"/>
    <w:rsid w:val="4D095402"/>
    <w:rsid w:val="520A0D3A"/>
    <w:rsid w:val="52D6001D"/>
    <w:rsid w:val="545B2D1E"/>
    <w:rsid w:val="57D25981"/>
    <w:rsid w:val="57FDA0BE"/>
    <w:rsid w:val="58130809"/>
    <w:rsid w:val="58F9569D"/>
    <w:rsid w:val="593B63EB"/>
    <w:rsid w:val="59F44553"/>
    <w:rsid w:val="59FA380B"/>
    <w:rsid w:val="5B1B3B3D"/>
    <w:rsid w:val="5E7CDA3E"/>
    <w:rsid w:val="5E874176"/>
    <w:rsid w:val="5EDB7E6B"/>
    <w:rsid w:val="5F7B161D"/>
    <w:rsid w:val="60E11C6E"/>
    <w:rsid w:val="611919F0"/>
    <w:rsid w:val="628C00A6"/>
    <w:rsid w:val="637B9098"/>
    <w:rsid w:val="65E5673E"/>
    <w:rsid w:val="66587C3D"/>
    <w:rsid w:val="678310D1"/>
    <w:rsid w:val="68885C4B"/>
    <w:rsid w:val="6B137749"/>
    <w:rsid w:val="6BFA3B11"/>
    <w:rsid w:val="6C303D88"/>
    <w:rsid w:val="6DD679FA"/>
    <w:rsid w:val="6FD460E9"/>
    <w:rsid w:val="700E7BC5"/>
    <w:rsid w:val="721D6951"/>
    <w:rsid w:val="77172125"/>
    <w:rsid w:val="7852112D"/>
    <w:rsid w:val="7A1A477D"/>
    <w:rsid w:val="7A417C19"/>
    <w:rsid w:val="7BADEF2A"/>
    <w:rsid w:val="7CAB38FF"/>
    <w:rsid w:val="7CCC347B"/>
    <w:rsid w:val="7CEBAE0E"/>
    <w:rsid w:val="7DBD0C10"/>
    <w:rsid w:val="7DFE0295"/>
    <w:rsid w:val="7FBFF8CD"/>
    <w:rsid w:val="7FD728C7"/>
    <w:rsid w:val="7FE7821B"/>
    <w:rsid w:val="979B73C9"/>
    <w:rsid w:val="BDD5B46E"/>
    <w:rsid w:val="BDFBD117"/>
    <w:rsid w:val="BFFA5AC9"/>
    <w:rsid w:val="CB2DB250"/>
    <w:rsid w:val="CF6D7E70"/>
    <w:rsid w:val="DCBB0B3F"/>
    <w:rsid w:val="DF3F4F15"/>
    <w:rsid w:val="DFECCA19"/>
    <w:rsid w:val="ECD9F0E4"/>
    <w:rsid w:val="F3F31006"/>
    <w:rsid w:val="FA7F4CA7"/>
    <w:rsid w:val="FD9744F3"/>
    <w:rsid w:val="FDF3458C"/>
    <w:rsid w:val="FF7F253F"/>
    <w:rsid w:val="FFAEC9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16"/>
    <w:qFormat/>
    <w:uiPriority w:val="9"/>
    <w:pPr>
      <w:widowControl/>
      <w:jc w:val="left"/>
      <w:outlineLvl w:val="2"/>
    </w:pPr>
    <w:rPr>
      <w:rFonts w:ascii="宋体" w:hAnsi="宋体" w:eastAsia="宋体" w:cs="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next w:val="1"/>
    <w:unhideWhenUsed/>
    <w:qFormat/>
    <w:uiPriority w:val="39"/>
    <w:pPr>
      <w:widowControl w:val="0"/>
      <w:spacing w:line="600" w:lineRule="exact"/>
      <w:ind w:firstLine="640" w:firstLineChars="200"/>
    </w:pPr>
    <w:rPr>
      <w:rFonts w:ascii="楷体_GB2312" w:hAnsi="楷体" w:eastAsia="楷体_GB2312" w:cs="仿宋"/>
      <w:kern w:val="2"/>
      <w:sz w:val="32"/>
      <w:szCs w:val="32"/>
      <w:lang w:val="en-US" w:eastAsia="zh-CN" w:bidi="ar-SA"/>
    </w:rPr>
  </w:style>
  <w:style w:type="paragraph" w:styleId="4">
    <w:name w:val="Balloon Text"/>
    <w:basedOn w:val="1"/>
    <w:link w:val="18"/>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character" w:styleId="10">
    <w:name w:val="Emphasis"/>
    <w:basedOn w:val="9"/>
    <w:qFormat/>
    <w:uiPriority w:val="20"/>
    <w:rPr>
      <w:color w:val="CC0000"/>
    </w:rPr>
  </w:style>
  <w:style w:type="character" w:styleId="11">
    <w:name w:val="Hyperlink"/>
    <w:basedOn w:val="9"/>
    <w:semiHidden/>
    <w:unhideWhenUsed/>
    <w:qFormat/>
    <w:uiPriority w:val="99"/>
    <w:rPr>
      <w:color w:val="0000CC"/>
      <w:u w:val="single"/>
    </w:rPr>
  </w:style>
  <w:style w:type="character" w:styleId="12">
    <w:name w:val="HTML Cite"/>
    <w:basedOn w:val="9"/>
    <w:semiHidden/>
    <w:unhideWhenUsed/>
    <w:qFormat/>
    <w:uiPriority w:val="99"/>
    <w:rPr>
      <w:color w:val="008000"/>
    </w:rPr>
  </w:style>
  <w:style w:type="paragraph" w:styleId="13">
    <w:name w:val="List Paragraph"/>
    <w:basedOn w:val="1"/>
    <w:qFormat/>
    <w:uiPriority w:val="34"/>
    <w:pPr>
      <w:ind w:firstLine="420" w:firstLineChars="200"/>
    </w:pPr>
  </w:style>
  <w:style w:type="character" w:customStyle="1" w:styleId="14">
    <w:name w:val="页眉 Char"/>
    <w:basedOn w:val="9"/>
    <w:link w:val="6"/>
    <w:qFormat/>
    <w:uiPriority w:val="99"/>
    <w:rPr>
      <w:sz w:val="18"/>
      <w:szCs w:val="18"/>
    </w:rPr>
  </w:style>
  <w:style w:type="character" w:customStyle="1" w:styleId="15">
    <w:name w:val="页脚 Char"/>
    <w:basedOn w:val="9"/>
    <w:link w:val="5"/>
    <w:qFormat/>
    <w:uiPriority w:val="99"/>
    <w:rPr>
      <w:sz w:val="18"/>
      <w:szCs w:val="18"/>
    </w:rPr>
  </w:style>
  <w:style w:type="character" w:customStyle="1" w:styleId="16">
    <w:name w:val="标题 3 Char"/>
    <w:basedOn w:val="9"/>
    <w:link w:val="3"/>
    <w:qFormat/>
    <w:uiPriority w:val="9"/>
    <w:rPr>
      <w:rFonts w:ascii="宋体" w:hAnsi="宋体" w:eastAsia="宋体" w:cs="宋体"/>
      <w:b/>
      <w:bCs/>
      <w:kern w:val="0"/>
      <w:sz w:val="27"/>
      <w:szCs w:val="27"/>
    </w:rPr>
  </w:style>
  <w:style w:type="character" w:customStyle="1" w:styleId="17">
    <w:name w:val="c-icon14"/>
    <w:basedOn w:val="9"/>
    <w:qFormat/>
    <w:uiPriority w:val="0"/>
  </w:style>
  <w:style w:type="character" w:customStyle="1" w:styleId="18">
    <w:name w:val="批注框文本 Char"/>
    <w:basedOn w:val="9"/>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989</Words>
  <Characters>5642</Characters>
  <Lines>47</Lines>
  <Paragraphs>13</Paragraphs>
  <TotalTime>114</TotalTime>
  <ScaleCrop>false</ScaleCrop>
  <LinksUpToDate>false</LinksUpToDate>
  <CharactersWithSpaces>6618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2019-12-03T01:01:00Z</dcterms:created>
  <dc:creator>OA</dc:creator>
  <cp:lastModifiedBy>娟儿</cp:lastModifiedBy>
  <cp:lastPrinted>2019-12-05T04:31:00Z</cp:lastPrinted>
  <dcterms:modified xsi:type="dcterms:W3CDTF">2021-01-20T03:30:14Z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