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宋体" w:eastAsia="黑体" w:cs="黑体"/>
          <w:b/>
          <w:sz w:val="32"/>
          <w:szCs w:val="32"/>
          <w:lang w:val="en-US" w:eastAsia="zh-CN" w:bidi="ar"/>
        </w:rPr>
      </w:pPr>
      <w:r>
        <w:rPr>
          <w:rFonts w:hint="eastAsia" w:ascii="黑体" w:hAnsi="宋体" w:eastAsia="黑体" w:cs="黑体"/>
          <w:b/>
          <w:sz w:val="32"/>
          <w:szCs w:val="32"/>
          <w:lang w:eastAsia="zh-CN" w:bidi="ar"/>
        </w:rPr>
        <w:t>附件</w:t>
      </w:r>
      <w:r>
        <w:rPr>
          <w:rFonts w:hint="eastAsia" w:ascii="黑体" w:hAnsi="宋体" w:eastAsia="黑体" w:cs="黑体"/>
          <w:b/>
          <w:sz w:val="32"/>
          <w:szCs w:val="32"/>
          <w:lang w:val="en-US" w:eastAsia="zh-CN" w:bidi="ar"/>
        </w:rPr>
        <w:t>1：</w:t>
      </w:r>
      <w:bookmarkStart w:id="0" w:name="_GoBack"/>
      <w:bookmarkEnd w:id="0"/>
    </w:p>
    <w:p>
      <w:pPr>
        <w:jc w:val="center"/>
        <w:rPr>
          <w:rFonts w:ascii="黑体" w:hAnsi="宋体" w:eastAsia="黑体" w:cs="黑体"/>
          <w:b/>
          <w:sz w:val="32"/>
          <w:szCs w:val="32"/>
          <w:lang w:bidi="ar"/>
        </w:rPr>
      </w:pPr>
      <w:r>
        <w:rPr>
          <w:rFonts w:hint="eastAsia" w:ascii="黑体" w:hAnsi="宋体" w:eastAsia="黑体" w:cs="黑体"/>
          <w:b/>
          <w:sz w:val="32"/>
          <w:szCs w:val="32"/>
          <w:lang w:bidi="ar"/>
        </w:rPr>
        <w:t>上海浦东国际机场四期扩建工程航站区工程项目</w:t>
      </w:r>
    </w:p>
    <w:p>
      <w:pPr>
        <w:jc w:val="center"/>
        <w:rPr>
          <w:rFonts w:ascii="黑体" w:hAnsi="宋体" w:eastAsia="黑体" w:cs="黑体"/>
          <w:b/>
          <w:sz w:val="36"/>
          <w:szCs w:val="36"/>
        </w:rPr>
      </w:pPr>
      <w:r>
        <w:rPr>
          <w:rFonts w:hint="eastAsia" w:ascii="黑体" w:hAnsi="宋体" w:eastAsia="黑体" w:cs="黑体"/>
          <w:b/>
          <w:sz w:val="32"/>
          <w:szCs w:val="32"/>
          <w:lang w:bidi="ar"/>
        </w:rPr>
        <w:t>国有土地上房屋征收补偿方案</w:t>
      </w:r>
    </w:p>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一、房屋征收与补偿的法律依据</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（一）《国有土地上房屋征收与补偿条例》（国务院令第590号）；</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（二）《上海市国有土地上房屋征收与补偿实施细则》（市政府令第71号）；</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（三）《关于贯彻执行&lt;上海市国有土地上房屋征收与补偿实施细则&gt;的若干意见》的通知（沪房规范[2022]3号）；</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四）《关于贯彻执行&lt;上海市国有土地上房屋征收与补偿实施细则&gt;若干具体问题的意见》（沪房管规范征[2012]9号）、上海市房屋管理局关于延长《关于贯彻执行&lt;上海市国有土地上房屋征收；与补偿实施细则&gt;若干具体问题的意见》有效期的通知（沪房规范[2021]10号)；</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（五）《上海市国有土地上房屋征收评估管理规定》（沪房规范 [2018]5号）、</w:t>
      </w:r>
      <w:r>
        <w:rPr>
          <w:rFonts w:hint="eastAsia" w:ascii="仿宋" w:hAnsi="仿宋" w:eastAsia="仿宋" w:cs="宋体"/>
          <w:sz w:val="30"/>
          <w:szCs w:val="30"/>
        </w:rPr>
        <w:t>《上海市国有土地上房屋征收评估技术规范》（沪房规范[2018]6号）</w:t>
      </w:r>
      <w:r>
        <w:rPr>
          <w:rFonts w:hint="eastAsia" w:ascii="仿宋" w:hAnsi="仿宋" w:eastAsia="仿宋" w:cs="宋体"/>
          <w:spacing w:val="11"/>
          <w:sz w:val="30"/>
          <w:szCs w:val="30"/>
        </w:rPr>
        <w:t>、《上海市房屋管理局关于延长&lt;上海市国有土地上房屋征收评估管理规定&gt;和&lt;上海市国有土地上房屋征收评估技术规范&gt;有效期的通知》(沪房规范[2022]4号)；</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六）《关于印发浦东新区国有土地上非居住房屋按期搬迁奖励费标准的通知》（浦府[2014]90号）、《浦东新区人民政府关于延长&lt;浦东新区国有土地上非居住房屋按期搬迁奖励费标准&gt;有效期的通知》（浦府规[2019]5号）；</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（七）其他相关法规和规范性文件。</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二、房屋征收的目的</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为增强上海浦东国际机场基础设施服务能力，保障浦东国际机场运行，更好地服务长三角高质量一体化发展和上海国际航运中心建设。</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三、房屋征收的范围</w:t>
      </w:r>
    </w:p>
    <w:p>
      <w:pPr>
        <w:widowControl/>
        <w:ind w:firstLine="644" w:firstLineChars="200"/>
        <w:jc w:val="left"/>
        <w:rPr>
          <w:rFonts w:hint="eastAsia" w:ascii="仿宋" w:hAnsi="仿宋" w:eastAsia="仿宋" w:cs="宋体"/>
          <w:spacing w:val="11"/>
          <w:sz w:val="30"/>
          <w:szCs w:val="30"/>
        </w:rPr>
      </w:pPr>
      <w:r>
        <w:rPr>
          <w:rFonts w:hint="eastAsia" w:ascii="仿宋" w:hAnsi="仿宋" w:eastAsia="仿宋" w:cs="宋体"/>
          <w:spacing w:val="11"/>
          <w:sz w:val="30"/>
          <w:szCs w:val="30"/>
        </w:rPr>
        <w:t>浦东新区祝桥镇，东至二跑道第二、三平滑间，南至现状围场河，西至T3航站楼西侧站坪第一条机位滑行通道西侧，北至南垂滑南侧（以规划用地批准范围为准）。</w:t>
      </w:r>
    </w:p>
    <w:p>
      <w:pPr>
        <w:widowControl/>
        <w:ind w:firstLine="646" w:firstLineChars="200"/>
        <w:jc w:val="left"/>
        <w:rPr>
          <w:rFonts w:ascii="仿宋" w:hAnsi="仿宋" w:eastAsia="仿宋" w:cs="宋体"/>
          <w:spacing w:val="11"/>
          <w:sz w:val="30"/>
          <w:szCs w:val="30"/>
        </w:rPr>
      </w:pPr>
      <w:r>
        <w:rPr>
          <w:rFonts w:hint="eastAsia" w:ascii="仿宋" w:hAnsi="仿宋" w:eastAsia="仿宋" w:cs="宋体"/>
          <w:b/>
          <w:bCs/>
          <w:spacing w:val="11"/>
          <w:sz w:val="30"/>
          <w:szCs w:val="30"/>
        </w:rPr>
        <w:t>四、被征收房屋类型及建筑面积的认定办法</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（一）房屋类型认定</w:t>
      </w:r>
    </w:p>
    <w:p>
      <w:pPr>
        <w:widowControl/>
        <w:ind w:firstLine="644" w:firstLineChars="200"/>
        <w:jc w:val="left"/>
        <w:rPr>
          <w:rFonts w:hint="eastAsia" w:ascii="仿宋" w:hAnsi="仿宋" w:eastAsia="仿宋" w:cs="宋体"/>
          <w:spacing w:val="11"/>
          <w:sz w:val="30"/>
          <w:szCs w:val="30"/>
        </w:rPr>
      </w:pPr>
      <w:r>
        <w:rPr>
          <w:rFonts w:hint="eastAsia" w:ascii="仿宋" w:hAnsi="仿宋" w:eastAsia="仿宋" w:cs="宋体"/>
          <w:spacing w:val="11"/>
          <w:sz w:val="30"/>
          <w:szCs w:val="30"/>
        </w:rPr>
        <w:t>被征收房屋类型以房地产权证（建筑工程规划验收合格证）记载为准。</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（二）房屋建筑面积的认定</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房屋建筑面积，以房地产权证（建筑工程规划验收合格证）记载的建筑面积为准。未经登记的建筑面积，以相关批准文件记载的建筑面积为准。实际建筑面积小于相关批准文件记载的，以实际建筑面积为准。</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五、房屋征收补偿主体、方式和内容</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（一）征收补偿协议主体的确定</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1、房屋征收补偿协议应当由房屋征收部门与被征收人签订。</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2、被征收人以征收决定作出之日合法有效的房地产权证（建筑工程规划验收合格证）计户，按户进行补偿。</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3、被征收人以房地产权证（建筑工程规划验收合格证）所载明的所有人为准。</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（二）征收非居住房屋的补偿方式：</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货币补偿。</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（三）补偿内容如下：</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1、被征收房屋的市场评估价格；</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2、设备搬迁和安装费用；</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3、装修费用；</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4、无法恢复使用的设备按重置价结合成新结算的费用；</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5、停产停业损失补偿；</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停产停业损失补偿标准，按照被征收房屋市场评估价的10%确定。被征收人认为其停产停业损失超过被征收房屋市场评估价的10%的，应当向房屋征收部门提供房屋被征收前三年的平均效益、停产停业期限等相关证明材料。由房地产价格评估机构对停产停业损失进行评估，并按照评估结果予以补偿。停产停业期限根据企事业单位实际停产停业时间确定，最长不超过1年。</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6、搬迁奖励费：</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对于在签约期限内签约并按照征收补偿协议约定的期限搬迁的，给予一定的奖励；具体标准按照非居住房屋市场评估总价的3%给予奖励。搬迁奖励费不满5万元的非居住房屋，按照5万元给予奖励。</w:t>
      </w:r>
    </w:p>
    <w:p>
      <w:pPr>
        <w:widowControl/>
        <w:ind w:firstLine="600" w:firstLineChars="200"/>
        <w:jc w:val="left"/>
        <w:rPr>
          <w:rFonts w:ascii="仿宋" w:hAnsi="仿宋" w:eastAsia="仿宋" w:cs="宋体"/>
          <w:sz w:val="30"/>
          <w:szCs w:val="30"/>
        </w:rPr>
      </w:pPr>
      <w:r>
        <w:rPr>
          <w:rFonts w:hint="eastAsia" w:ascii="仿宋" w:hAnsi="仿宋" w:eastAsia="仿宋" w:cs="宋体"/>
          <w:sz w:val="30"/>
          <w:szCs w:val="30"/>
        </w:rPr>
        <w:t>7、配电增容费：</w:t>
      </w:r>
    </w:p>
    <w:p>
      <w:pPr>
        <w:widowControl/>
        <w:ind w:firstLine="644" w:firstLineChars="200"/>
        <w:jc w:val="left"/>
        <w:rPr>
          <w:rFonts w:hint="eastAsia" w:ascii="仿宋" w:hAnsi="仿宋" w:eastAsia="仿宋" w:cs="宋体"/>
          <w:spacing w:val="11"/>
          <w:sz w:val="30"/>
          <w:szCs w:val="30"/>
          <w:lang w:val="en-US" w:eastAsia="zh-CN"/>
        </w:rPr>
      </w:pPr>
      <w:r>
        <w:rPr>
          <w:rFonts w:hint="eastAsia" w:ascii="仿宋" w:hAnsi="仿宋" w:eastAsia="仿宋" w:cs="宋体"/>
          <w:spacing w:val="11"/>
          <w:sz w:val="30"/>
          <w:szCs w:val="30"/>
          <w:lang w:val="en-US" w:eastAsia="zh-CN"/>
        </w:rPr>
        <w:t>根据搬迁时实际使用量，按1000元/KW进行补贴。实际使用量须以供电部门出具的证明材料为准。</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六、房屋征收评估机构选定办法</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被征收房屋的价格，由具有相应资质的房地产价格评估机构按照房屋征收评估办法评估确定。房地产价格评估机构按照以下方式确定：</w:t>
      </w:r>
    </w:p>
    <w:p>
      <w:pPr>
        <w:keepNext w:val="0"/>
        <w:keepLines w:val="0"/>
        <w:widowControl/>
        <w:numPr>
          <w:ilvl w:val="0"/>
          <w:numId w:val="1"/>
        </w:numPr>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协商选定；</w:t>
      </w:r>
    </w:p>
    <w:p>
      <w:pPr>
        <w:keepNext w:val="0"/>
        <w:keepLines w:val="0"/>
        <w:widowControl/>
        <w:numPr>
          <w:ilvl w:val="0"/>
          <w:numId w:val="1"/>
        </w:numPr>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按照少数服从多数的原则投票决定</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3、采取摇号、抽签等随机方式确定。</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七、房屋征收补偿的签约期限</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签约期限为</w:t>
      </w:r>
      <w:r>
        <w:rPr>
          <w:rFonts w:hint="eastAsia" w:ascii="仿宋" w:hAnsi="仿宋" w:eastAsia="仿宋" w:cs="宋体"/>
          <w:spacing w:val="11"/>
          <w:sz w:val="30"/>
          <w:szCs w:val="30"/>
          <w:u w:val="single"/>
        </w:rPr>
        <w:t xml:space="preserve">  7  </w:t>
      </w:r>
      <w:r>
        <w:rPr>
          <w:rFonts w:hint="eastAsia" w:ascii="仿宋" w:hAnsi="仿宋" w:eastAsia="仿宋" w:cs="宋体"/>
          <w:spacing w:val="11"/>
          <w:sz w:val="30"/>
          <w:szCs w:val="30"/>
        </w:rPr>
        <w:t>天。</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八、搬迁期限</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被征收人在协议审计审核完成并生效后，于协议约定的期限内搬离原址，交出原房钥匙。</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九、受委托的房屋征收事务所名称</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受委托的房屋征收事务所：上海市浦东第一房屋征收服务事务所有限公司</w:t>
      </w:r>
    </w:p>
    <w:p>
      <w:pPr>
        <w:widowControl/>
        <w:ind w:firstLine="644" w:firstLineChars="200"/>
        <w:jc w:val="left"/>
        <w:rPr>
          <w:rFonts w:hint="eastAsia" w:ascii="仿宋" w:hAnsi="仿宋" w:eastAsia="仿宋" w:cs="宋体"/>
          <w:spacing w:val="11"/>
          <w:sz w:val="30"/>
          <w:szCs w:val="30"/>
        </w:rPr>
      </w:pPr>
      <w:r>
        <w:rPr>
          <w:rFonts w:hint="eastAsia" w:ascii="仿宋" w:hAnsi="仿宋" w:eastAsia="仿宋" w:cs="宋体"/>
          <w:spacing w:val="11"/>
          <w:sz w:val="30"/>
          <w:szCs w:val="30"/>
        </w:rPr>
        <w:t>地址：浦东新区祖冲之路1500号</w:t>
      </w:r>
    </w:p>
    <w:p>
      <w:pPr>
        <w:widowControl/>
        <w:ind w:firstLine="644" w:firstLineChars="200"/>
        <w:jc w:val="left"/>
        <w:rPr>
          <w:rFonts w:hint="eastAsia" w:ascii="仿宋" w:hAnsi="仿宋" w:eastAsia="仿宋" w:cs="宋体"/>
          <w:spacing w:val="11"/>
          <w:sz w:val="30"/>
          <w:szCs w:val="30"/>
        </w:rPr>
      </w:pPr>
      <w:r>
        <w:rPr>
          <w:rFonts w:hint="eastAsia" w:ascii="仿宋" w:hAnsi="仿宋" w:eastAsia="仿宋" w:cs="宋体"/>
          <w:spacing w:val="11"/>
          <w:sz w:val="30"/>
          <w:szCs w:val="30"/>
        </w:rPr>
        <w:t>邮政编码：201203</w:t>
      </w:r>
    </w:p>
    <w:p>
      <w:pPr>
        <w:widowControl/>
        <w:ind w:firstLine="644" w:firstLineChars="200"/>
        <w:jc w:val="left"/>
        <w:rPr>
          <w:rFonts w:hint="eastAsia" w:ascii="仿宋" w:hAnsi="仿宋" w:eastAsia="仿宋" w:cs="宋体"/>
          <w:spacing w:val="11"/>
          <w:sz w:val="30"/>
          <w:szCs w:val="30"/>
        </w:rPr>
      </w:pPr>
      <w:r>
        <w:rPr>
          <w:rFonts w:hint="eastAsia" w:ascii="仿宋" w:hAnsi="仿宋" w:eastAsia="仿宋" w:cs="宋体"/>
          <w:spacing w:val="11"/>
          <w:sz w:val="30"/>
          <w:szCs w:val="30"/>
        </w:rPr>
        <w:t>联系电话：58957500</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电子邮箱：pdzsys@126.com</w:t>
      </w:r>
    </w:p>
    <w:p>
      <w:pPr>
        <w:widowControl/>
        <w:ind w:firstLine="646" w:firstLineChars="200"/>
        <w:jc w:val="left"/>
        <w:rPr>
          <w:rFonts w:ascii="仿宋" w:hAnsi="仿宋" w:eastAsia="仿宋" w:cs="宋体"/>
          <w:b/>
          <w:bCs/>
          <w:spacing w:val="11"/>
          <w:sz w:val="30"/>
          <w:szCs w:val="30"/>
        </w:rPr>
      </w:pPr>
      <w:r>
        <w:rPr>
          <w:rFonts w:hint="eastAsia" w:ascii="仿宋" w:hAnsi="仿宋" w:eastAsia="仿宋" w:cs="宋体"/>
          <w:b/>
          <w:bCs/>
          <w:spacing w:val="11"/>
          <w:sz w:val="30"/>
          <w:szCs w:val="30"/>
        </w:rPr>
        <w:t>十、其他事项</w:t>
      </w:r>
    </w:p>
    <w:p>
      <w:pPr>
        <w:widowControl/>
        <w:ind w:firstLine="644" w:firstLineChars="200"/>
        <w:jc w:val="left"/>
        <w:rPr>
          <w:rFonts w:ascii="仿宋" w:hAnsi="仿宋" w:eastAsia="仿宋" w:cs="宋体"/>
          <w:spacing w:val="11"/>
          <w:sz w:val="30"/>
          <w:szCs w:val="30"/>
        </w:rPr>
      </w:pPr>
      <w:r>
        <w:rPr>
          <w:rFonts w:hint="eastAsia" w:ascii="仿宋" w:hAnsi="仿宋" w:eastAsia="仿宋" w:cs="宋体"/>
          <w:spacing w:val="11"/>
          <w:sz w:val="30"/>
          <w:szCs w:val="30"/>
        </w:rPr>
        <w:t>本房屋征收补偿方案中的货币为人民币结算。</w:t>
      </w:r>
    </w:p>
    <w:p>
      <w:pPr>
        <w:widowControl/>
        <w:ind w:firstLine="644" w:firstLineChars="200"/>
        <w:jc w:val="left"/>
        <w:rPr>
          <w:rFonts w:ascii="仿宋" w:hAnsi="仿宋" w:eastAsia="仿宋" w:cs="宋体"/>
          <w:spacing w:val="11"/>
          <w:sz w:val="30"/>
          <w:szCs w:val="30"/>
        </w:rPr>
      </w:pPr>
    </w:p>
    <w:p>
      <w:pPr>
        <w:widowControl/>
        <w:ind w:firstLine="644" w:firstLineChars="200"/>
        <w:jc w:val="left"/>
        <w:rPr>
          <w:rFonts w:ascii="仿宋" w:hAnsi="仿宋" w:eastAsia="仿宋" w:cs="宋体"/>
          <w:spacing w:val="11"/>
          <w:sz w:val="30"/>
          <w:szCs w:val="30"/>
        </w:rPr>
      </w:pPr>
    </w:p>
    <w:p>
      <w:pPr>
        <w:widowControl/>
        <w:ind w:firstLine="644" w:firstLineChars="200"/>
        <w:jc w:val="left"/>
        <w:rPr>
          <w:rFonts w:ascii="仿宋" w:hAnsi="仿宋" w:eastAsia="仿宋" w:cs="宋体"/>
          <w:spacing w:val="11"/>
          <w:sz w:val="30"/>
          <w:szCs w:val="30"/>
        </w:rPr>
      </w:pPr>
    </w:p>
    <w:p>
      <w:pPr>
        <w:widowControl/>
        <w:ind w:firstLine="644" w:firstLineChars="200"/>
        <w:jc w:val="right"/>
        <w:rPr>
          <w:rFonts w:hint="eastAsia" w:ascii="仿宋" w:hAnsi="仿宋" w:eastAsia="仿宋" w:cs="宋体"/>
          <w:spacing w:val="11"/>
          <w:sz w:val="30"/>
          <w:szCs w:val="30"/>
        </w:rPr>
      </w:pPr>
    </w:p>
    <w:p>
      <w:pPr>
        <w:widowControl/>
        <w:ind w:firstLine="644" w:firstLineChars="200"/>
        <w:jc w:val="right"/>
        <w:rPr>
          <w:rFonts w:ascii="仿宋" w:hAnsi="仿宋" w:eastAsia="仿宋" w:cs="宋体"/>
          <w:spacing w:val="11"/>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ADED6"/>
    <w:multiLevelType w:val="singleLevel"/>
    <w:tmpl w:val="5C3ADE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N2JlN2ZlMzAyM2I1NjVhMWQxMDYwOGUwMjc5MjEifQ=="/>
  </w:docVars>
  <w:rsids>
    <w:rsidRoot w:val="130F7721"/>
    <w:rsid w:val="000E3364"/>
    <w:rsid w:val="002E6AB4"/>
    <w:rsid w:val="00306AE5"/>
    <w:rsid w:val="003B50C7"/>
    <w:rsid w:val="00656823"/>
    <w:rsid w:val="00660080"/>
    <w:rsid w:val="00843773"/>
    <w:rsid w:val="00945755"/>
    <w:rsid w:val="00D83B85"/>
    <w:rsid w:val="00EE1F4C"/>
    <w:rsid w:val="00F91A42"/>
    <w:rsid w:val="00F92B73"/>
    <w:rsid w:val="07943000"/>
    <w:rsid w:val="0A61180E"/>
    <w:rsid w:val="100930EA"/>
    <w:rsid w:val="130F7721"/>
    <w:rsid w:val="166731D7"/>
    <w:rsid w:val="166A259B"/>
    <w:rsid w:val="1F2D37A9"/>
    <w:rsid w:val="1F9D5620"/>
    <w:rsid w:val="25423C43"/>
    <w:rsid w:val="2BEC1ABB"/>
    <w:rsid w:val="310023B7"/>
    <w:rsid w:val="328C33A9"/>
    <w:rsid w:val="36F837AB"/>
    <w:rsid w:val="3A9B0139"/>
    <w:rsid w:val="40A532D2"/>
    <w:rsid w:val="412B03F3"/>
    <w:rsid w:val="43FA742C"/>
    <w:rsid w:val="44501F0D"/>
    <w:rsid w:val="59356908"/>
    <w:rsid w:val="5C1C032B"/>
    <w:rsid w:val="5CC54458"/>
    <w:rsid w:val="5E3873B6"/>
    <w:rsid w:val="603D6789"/>
    <w:rsid w:val="6BF972F4"/>
    <w:rsid w:val="73943BA4"/>
    <w:rsid w:val="753E609A"/>
    <w:rsid w:val="7B140824"/>
    <w:rsid w:val="7D0A576E"/>
    <w:rsid w:val="7DB7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宋体" w:cs="Times New Roman"/>
      <w:szCs w:val="21"/>
    </w:rPr>
  </w:style>
  <w:style w:type="character" w:styleId="5">
    <w:name w:val="Hyperlink"/>
    <w:basedOn w:val="4"/>
    <w:qFormat/>
    <w:uiPriority w:val="0"/>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Words>
  <Characters>1559</Characters>
  <Lines>12</Lines>
  <Paragraphs>3</Paragraphs>
  <TotalTime>0</TotalTime>
  <ScaleCrop>false</ScaleCrop>
  <LinksUpToDate>false</LinksUpToDate>
  <CharactersWithSpaces>1829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2023-02-01T03:29:00Z</dcterms:created>
  <dc:creator>Administrator</dc:creator>
  <cp:lastModifiedBy>lenovo</cp:lastModifiedBy>
  <cp:lastPrinted>2023-06-01T03:54:00Z</cp:lastPrinted>
  <dcterms:modified xsi:type="dcterms:W3CDTF">2024-10-18T06:07:15Z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B41CA882E64747D29ACA3C144D033779_13</vt:lpwstr>
  </property>
</Properties>
</file>