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41" w:rsidRDefault="001923D4">
      <w:pPr>
        <w:pStyle w:val="a3"/>
        <w:widowControl/>
        <w:shd w:val="clear" w:color="auto" w:fill="FFFFFF"/>
        <w:spacing w:before="100" w:beforeAutospacing="0" w:after="100" w:afterAutospacing="0" w:line="23" w:lineRule="atLeast"/>
        <w:jc w:val="center"/>
        <w:rPr>
          <w:rFonts w:ascii="黑体" w:eastAsia="黑体" w:hAnsi="宋体" w:cs="黑体"/>
          <w:b/>
          <w:bCs/>
          <w:color w:val="333333"/>
          <w:sz w:val="44"/>
          <w:szCs w:val="44"/>
          <w:shd w:val="clear" w:color="auto" w:fill="FFFFFF"/>
        </w:rPr>
      </w:pPr>
      <w:r>
        <w:rPr>
          <w:rFonts w:ascii="黑体" w:eastAsia="黑体" w:hAnsi="宋体" w:cs="黑体"/>
          <w:b/>
          <w:bCs/>
          <w:color w:val="333333"/>
          <w:sz w:val="44"/>
          <w:szCs w:val="44"/>
          <w:shd w:val="clear" w:color="auto" w:fill="FFFFFF"/>
        </w:rPr>
        <w:t>金桥管理局</w:t>
      </w:r>
      <w:r>
        <w:rPr>
          <w:rFonts w:ascii="黑体" w:eastAsia="黑体" w:hAnsi="宋体" w:cs="黑体" w:hint="eastAsia"/>
          <w:b/>
          <w:bCs/>
          <w:color w:val="333333"/>
          <w:sz w:val="44"/>
          <w:szCs w:val="44"/>
          <w:shd w:val="clear" w:color="auto" w:fill="FFFFFF"/>
        </w:rPr>
        <w:t>202</w:t>
      </w:r>
      <w:r>
        <w:rPr>
          <w:rFonts w:ascii="黑体" w:eastAsia="黑体" w:hAnsi="宋体" w:cs="黑体" w:hint="eastAsia"/>
          <w:b/>
          <w:bCs/>
          <w:color w:val="333333"/>
          <w:sz w:val="44"/>
          <w:szCs w:val="44"/>
          <w:shd w:val="clear" w:color="auto" w:fill="FFFFFF"/>
        </w:rPr>
        <w:t>2</w:t>
      </w:r>
      <w:r>
        <w:rPr>
          <w:rFonts w:ascii="黑体" w:eastAsia="黑体" w:hAnsi="宋体" w:cs="黑体" w:hint="eastAsia"/>
          <w:b/>
          <w:bCs/>
          <w:color w:val="333333"/>
          <w:sz w:val="44"/>
          <w:szCs w:val="44"/>
          <w:shd w:val="clear" w:color="auto" w:fill="FFFFFF"/>
        </w:rPr>
        <w:t>年度法治政府建设</w:t>
      </w:r>
    </w:p>
    <w:p w:rsidR="00C11041" w:rsidRDefault="001923D4">
      <w:pPr>
        <w:pStyle w:val="a3"/>
        <w:widowControl/>
        <w:shd w:val="clear" w:color="auto" w:fill="FFFFFF"/>
        <w:spacing w:before="100" w:beforeAutospacing="0" w:after="100" w:afterAutospacing="0" w:line="23" w:lineRule="atLeast"/>
        <w:jc w:val="center"/>
        <w:rPr>
          <w:rFonts w:ascii="黑体" w:eastAsia="黑体" w:hAnsi="宋体" w:cs="黑体"/>
          <w:b/>
          <w:bCs/>
          <w:color w:val="333333"/>
          <w:sz w:val="44"/>
          <w:szCs w:val="44"/>
          <w:shd w:val="clear" w:color="auto" w:fill="FFFFFF"/>
        </w:rPr>
      </w:pPr>
      <w:r>
        <w:rPr>
          <w:rFonts w:ascii="黑体" w:eastAsia="黑体" w:hAnsi="宋体" w:cs="黑体" w:hint="eastAsia"/>
          <w:b/>
          <w:bCs/>
          <w:color w:val="333333"/>
          <w:sz w:val="44"/>
          <w:szCs w:val="44"/>
          <w:shd w:val="clear" w:color="auto" w:fill="FFFFFF"/>
        </w:rPr>
        <w:t>情况报告</w:t>
      </w:r>
      <w:r>
        <w:rPr>
          <w:rFonts w:ascii="黑体" w:eastAsia="黑体" w:hAnsi="宋体" w:cs="黑体" w:hint="eastAsia"/>
          <w:b/>
          <w:bCs/>
          <w:color w:val="333333"/>
          <w:sz w:val="44"/>
          <w:szCs w:val="44"/>
          <w:shd w:val="clear" w:color="auto" w:fill="FFFFFF"/>
        </w:rPr>
        <w:t>解读</w:t>
      </w:r>
    </w:p>
    <w:p w:rsidR="00C11041" w:rsidRDefault="001923D4">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shd w:val="clear" w:color="auto" w:fill="FFFFFF"/>
        </w:rPr>
        <w:t>一、</w:t>
      </w:r>
      <w:r>
        <w:rPr>
          <w:rFonts w:ascii="仿宋_GB2312" w:eastAsia="仿宋_GB2312" w:hAnsi="仿宋_GB2312" w:cs="仿宋_GB2312" w:hint="eastAsia"/>
          <w:b/>
          <w:bCs/>
          <w:color w:val="333333"/>
          <w:sz w:val="32"/>
          <w:szCs w:val="32"/>
          <w:shd w:val="clear" w:color="auto" w:fill="FFFFFF"/>
        </w:rPr>
        <w:t>202</w:t>
      </w:r>
      <w:r>
        <w:rPr>
          <w:rFonts w:ascii="仿宋_GB2312" w:eastAsia="仿宋_GB2312" w:hAnsi="仿宋_GB2312" w:cs="仿宋_GB2312" w:hint="eastAsia"/>
          <w:b/>
          <w:bCs/>
          <w:color w:val="333333"/>
          <w:sz w:val="32"/>
          <w:szCs w:val="32"/>
          <w:shd w:val="clear" w:color="auto" w:fill="FFFFFF"/>
        </w:rPr>
        <w:t>2</w:t>
      </w:r>
      <w:r>
        <w:rPr>
          <w:rFonts w:ascii="仿宋_GB2312" w:eastAsia="仿宋_GB2312" w:hAnsi="仿宋_GB2312" w:cs="仿宋_GB2312" w:hint="eastAsia"/>
          <w:b/>
          <w:bCs/>
          <w:color w:val="333333"/>
          <w:sz w:val="32"/>
          <w:szCs w:val="32"/>
          <w:shd w:val="clear" w:color="auto" w:fill="FFFFFF"/>
        </w:rPr>
        <w:t>年度金桥管理局法治政府建设的主要举措和成效</w:t>
      </w:r>
    </w:p>
    <w:p w:rsidR="00C11041" w:rsidRDefault="001923D4">
      <w:pPr>
        <w:pStyle w:val="a3"/>
        <w:widowControl/>
        <w:numPr>
          <w:ilvl w:val="0"/>
          <w:numId w:val="1"/>
        </w:numPr>
        <w:shd w:val="clear" w:color="auto" w:fill="FFFFFF"/>
        <w:spacing w:before="100" w:beforeAutospacing="0" w:after="100" w:afterAutospacing="0" w:line="23" w:lineRule="atLeast"/>
        <w:ind w:left="1723" w:hanging="108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强化领导</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完善</w:t>
      </w:r>
      <w:r>
        <w:rPr>
          <w:rFonts w:ascii="仿宋_GB2312" w:eastAsia="仿宋_GB2312" w:hAnsi="仿宋_GB2312" w:cs="仿宋_GB2312" w:hint="eastAsia"/>
          <w:color w:val="333333"/>
          <w:sz w:val="32"/>
          <w:szCs w:val="32"/>
          <w:shd w:val="clear" w:color="auto" w:fill="FFFFFF"/>
        </w:rPr>
        <w:t>工作机制</w:t>
      </w:r>
    </w:p>
    <w:p w:rsidR="00C11041" w:rsidRDefault="001923D4">
      <w:pPr>
        <w:pStyle w:val="a3"/>
        <w:widowControl/>
        <w:numPr>
          <w:ilvl w:val="0"/>
          <w:numId w:val="2"/>
        </w:numPr>
        <w:shd w:val="clear" w:color="auto" w:fill="FFFFFF"/>
        <w:spacing w:before="100" w:beforeAutospacing="0" w:after="100" w:afterAutospacing="0" w:line="23" w:lineRule="atLeast"/>
        <w:ind w:left="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开展</w:t>
      </w:r>
      <w:r>
        <w:rPr>
          <w:rFonts w:ascii="仿宋_GB2312" w:eastAsia="仿宋_GB2312" w:hAnsi="仿宋_GB2312" w:cs="仿宋_GB2312" w:hint="eastAsia"/>
          <w:color w:val="333333"/>
          <w:sz w:val="32"/>
          <w:szCs w:val="32"/>
          <w:shd w:val="clear" w:color="auto" w:fill="FFFFFF"/>
        </w:rPr>
        <w:t>《金桥管理局</w:t>
      </w: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年落实“四个责任制”工作总体方案》制定</w:t>
      </w:r>
      <w:r>
        <w:rPr>
          <w:rFonts w:ascii="仿宋_GB2312" w:eastAsia="仿宋_GB2312" w:hAnsi="仿宋_GB2312" w:cs="仿宋_GB2312" w:hint="eastAsia"/>
          <w:color w:val="333333"/>
          <w:sz w:val="32"/>
          <w:szCs w:val="32"/>
          <w:shd w:val="clear" w:color="auto" w:fill="FFFFFF"/>
        </w:rPr>
        <w:t>工作</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解读：“四个责任制”包括基层党建责任制、党风廉政建设责任制、意识形态责任制、法治建设责任制。</w:t>
      </w:r>
    </w:p>
    <w:p w:rsidR="00C11041" w:rsidRDefault="001923D4">
      <w:pPr>
        <w:pStyle w:val="a3"/>
        <w:widowControl/>
        <w:numPr>
          <w:ilvl w:val="0"/>
          <w:numId w:val="2"/>
        </w:numPr>
        <w:shd w:val="clear" w:color="auto" w:fill="FFFFFF"/>
        <w:spacing w:before="100" w:beforeAutospacing="0" w:after="100" w:afterAutospacing="0" w:line="23" w:lineRule="atLeast"/>
        <w:ind w:left="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统筹谋划，强化工作融合</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w:t>
      </w:r>
      <w:r>
        <w:rPr>
          <w:rFonts w:ascii="仿宋_GB2312" w:eastAsia="仿宋_GB2312" w:hAnsi="仿宋_GB2312" w:cs="仿宋_GB2312" w:hint="eastAsia"/>
          <w:color w:val="333333"/>
          <w:sz w:val="32"/>
          <w:szCs w:val="32"/>
          <w:shd w:val="clear" w:color="auto" w:fill="FFFFFF"/>
        </w:rPr>
        <w:t>坚持将法治建设与业务工作、党建工作</w:t>
      </w:r>
      <w:r>
        <w:rPr>
          <w:rFonts w:ascii="仿宋_GB2312" w:eastAsia="仿宋_GB2312" w:hAnsi="仿宋_GB2312" w:cs="仿宋_GB2312" w:hint="eastAsia"/>
          <w:color w:val="333333"/>
          <w:sz w:val="32"/>
          <w:szCs w:val="32"/>
          <w:shd w:val="clear" w:color="auto" w:fill="FFFFFF"/>
        </w:rPr>
        <w:t>同</w:t>
      </w:r>
      <w:r>
        <w:rPr>
          <w:rFonts w:ascii="仿宋_GB2312" w:eastAsia="仿宋_GB2312" w:hAnsi="仿宋_GB2312" w:cs="仿宋_GB2312" w:hint="eastAsia"/>
          <w:color w:val="333333"/>
          <w:sz w:val="32"/>
          <w:szCs w:val="32"/>
          <w:shd w:val="clear" w:color="auto" w:fill="FFFFFF"/>
        </w:rPr>
        <w:t>谋划、同部署。</w:t>
      </w:r>
      <w:r>
        <w:rPr>
          <w:rFonts w:ascii="仿宋_GB2312" w:eastAsia="仿宋_GB2312" w:hAnsi="仿宋_GB2312" w:cs="仿宋_GB2312" w:hint="eastAsia"/>
          <w:color w:val="333333"/>
          <w:sz w:val="32"/>
          <w:szCs w:val="32"/>
          <w:shd w:val="clear" w:color="auto" w:fill="FFFFFF"/>
        </w:rPr>
        <w:t>强化了法治建设责任制工作由上至下工作责任落实的层层传导</w:t>
      </w:r>
      <w:r>
        <w:rPr>
          <w:rFonts w:ascii="仿宋_GB2312" w:eastAsia="仿宋_GB2312" w:hAnsi="仿宋_GB2312" w:cs="仿宋_GB2312" w:hint="eastAsia"/>
          <w:color w:val="333333"/>
          <w:sz w:val="32"/>
          <w:szCs w:val="32"/>
          <w:shd w:val="clear" w:color="auto" w:fill="FFFFFF"/>
        </w:rPr>
        <w:t>。</w:t>
      </w:r>
    </w:p>
    <w:p w:rsidR="00C11041" w:rsidRDefault="001923D4">
      <w:pPr>
        <w:pStyle w:val="a3"/>
        <w:widowControl/>
        <w:numPr>
          <w:ilvl w:val="0"/>
          <w:numId w:val="1"/>
        </w:numPr>
        <w:shd w:val="clear" w:color="auto" w:fill="FFFFFF"/>
        <w:spacing w:before="100" w:beforeAutospacing="0" w:after="100" w:afterAutospacing="0" w:line="23" w:lineRule="atLeast"/>
        <w:ind w:left="1723" w:hanging="108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提升依法行政水平，</w:t>
      </w:r>
      <w:r>
        <w:rPr>
          <w:rFonts w:ascii="仿宋_GB2312" w:eastAsia="仿宋_GB2312" w:hAnsi="仿宋_GB2312" w:cs="仿宋_GB2312" w:hint="eastAsia"/>
          <w:color w:val="333333"/>
          <w:sz w:val="32"/>
          <w:szCs w:val="32"/>
          <w:shd w:val="clear" w:color="auto" w:fill="FFFFFF"/>
        </w:rPr>
        <w:t>持续</w:t>
      </w:r>
      <w:r>
        <w:rPr>
          <w:rFonts w:ascii="仿宋_GB2312" w:eastAsia="仿宋_GB2312" w:hAnsi="仿宋_GB2312" w:cs="仿宋_GB2312" w:hint="eastAsia"/>
          <w:color w:val="333333"/>
          <w:sz w:val="32"/>
          <w:szCs w:val="32"/>
          <w:shd w:val="clear" w:color="auto" w:fill="FFFFFF"/>
        </w:rPr>
        <w:t>优化营商环境</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年我局</w:t>
      </w:r>
      <w:r>
        <w:rPr>
          <w:rFonts w:ascii="仿宋_GB2312" w:eastAsia="仿宋_GB2312" w:hAnsi="仿宋_GB2312" w:cs="仿宋_GB2312" w:hint="eastAsia"/>
          <w:color w:val="333333"/>
          <w:sz w:val="32"/>
          <w:szCs w:val="32"/>
          <w:shd w:val="clear" w:color="auto" w:fill="FFFFFF"/>
        </w:rPr>
        <w:t>优化行政审批服务、持续规范管理行政事务、对企业经办人员展开培训、优化人才服务。</w:t>
      </w:r>
    </w:p>
    <w:p w:rsidR="00C11041" w:rsidRDefault="001923D4">
      <w:pPr>
        <w:pStyle w:val="a3"/>
        <w:widowControl/>
        <w:numPr>
          <w:ilvl w:val="0"/>
          <w:numId w:val="1"/>
        </w:numPr>
        <w:shd w:val="clear" w:color="auto" w:fill="FFFFFF"/>
        <w:spacing w:before="100" w:beforeAutospacing="0" w:after="100" w:afterAutospacing="0" w:line="23" w:lineRule="atLeast"/>
        <w:ind w:left="1723" w:hanging="1083"/>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细化</w:t>
      </w:r>
      <w:r>
        <w:rPr>
          <w:rFonts w:ascii="仿宋_GB2312" w:eastAsia="仿宋_GB2312" w:hAnsi="仿宋_GB2312" w:cs="仿宋_GB2312" w:hint="eastAsia"/>
          <w:color w:val="333333"/>
          <w:sz w:val="32"/>
          <w:szCs w:val="32"/>
          <w:shd w:val="clear" w:color="auto" w:fill="FFFFFF"/>
        </w:rPr>
        <w:t>公开</w:t>
      </w:r>
      <w:r>
        <w:rPr>
          <w:rFonts w:ascii="仿宋_GB2312" w:eastAsia="仿宋_GB2312" w:hAnsi="仿宋_GB2312" w:cs="仿宋_GB2312" w:hint="eastAsia"/>
          <w:color w:val="333333"/>
          <w:sz w:val="32"/>
          <w:szCs w:val="32"/>
          <w:shd w:val="clear" w:color="auto" w:fill="FFFFFF"/>
        </w:rPr>
        <w:t>工作</w:t>
      </w:r>
      <w:r>
        <w:rPr>
          <w:rFonts w:ascii="仿宋_GB2312" w:eastAsia="仿宋_GB2312" w:hAnsi="仿宋_GB2312" w:cs="仿宋_GB2312" w:hint="eastAsia"/>
          <w:color w:val="333333"/>
          <w:sz w:val="32"/>
          <w:szCs w:val="32"/>
          <w:shd w:val="clear" w:color="auto" w:fill="FFFFFF"/>
        </w:rPr>
        <w:t>，提升</w:t>
      </w:r>
      <w:r>
        <w:rPr>
          <w:rFonts w:ascii="仿宋_GB2312" w:eastAsia="仿宋_GB2312" w:hAnsi="仿宋_GB2312" w:cs="仿宋_GB2312" w:hint="eastAsia"/>
          <w:color w:val="333333"/>
          <w:sz w:val="32"/>
          <w:szCs w:val="32"/>
          <w:shd w:val="clear" w:color="auto" w:fill="FFFFFF"/>
        </w:rPr>
        <w:t>公开</w:t>
      </w:r>
      <w:r>
        <w:rPr>
          <w:rFonts w:ascii="仿宋_GB2312" w:eastAsia="仿宋_GB2312" w:hAnsi="仿宋_GB2312" w:cs="仿宋_GB2312" w:hint="eastAsia"/>
          <w:color w:val="333333"/>
          <w:sz w:val="32"/>
          <w:szCs w:val="32"/>
          <w:shd w:val="clear" w:color="auto" w:fill="FFFFFF"/>
        </w:rPr>
        <w:t>质量</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解读：此处公开工作指政务公开，详见</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年上海金桥经济技术开发区管理委员会政府信息公开工作年度报告》。</w:t>
      </w:r>
    </w:p>
    <w:p w:rsidR="00C11041" w:rsidRDefault="001923D4">
      <w:pPr>
        <w:pStyle w:val="a3"/>
        <w:widowControl/>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w:t>
      </w:r>
      <w:r>
        <w:rPr>
          <w:rFonts w:ascii="仿宋_GB2312" w:eastAsia="仿宋_GB2312" w:hAnsi="仿宋_GB2312" w:cs="仿宋_GB2312" w:hint="eastAsia"/>
          <w:color w:val="333333"/>
          <w:sz w:val="32"/>
          <w:szCs w:val="32"/>
          <w:shd w:val="clear" w:color="auto" w:fill="FFFFFF"/>
        </w:rPr>
        <w:t>四</w:t>
      </w:r>
      <w:r>
        <w:rPr>
          <w:rFonts w:ascii="仿宋_GB2312" w:eastAsia="仿宋_GB2312" w:hAnsi="仿宋_GB2312" w:cs="仿宋_GB2312" w:hint="eastAsia"/>
          <w:color w:val="333333"/>
          <w:sz w:val="32"/>
          <w:szCs w:val="32"/>
          <w:shd w:val="clear" w:color="auto" w:fill="FFFFFF"/>
        </w:rPr>
        <w:t>）加强法宣</w:t>
      </w:r>
      <w:r>
        <w:rPr>
          <w:rFonts w:ascii="仿宋_GB2312" w:eastAsia="仿宋_GB2312" w:hAnsi="仿宋_GB2312" w:cs="仿宋_GB2312" w:hint="eastAsia"/>
          <w:color w:val="333333"/>
          <w:sz w:val="32"/>
          <w:szCs w:val="32"/>
          <w:shd w:val="clear" w:color="auto" w:fill="FFFFFF"/>
        </w:rPr>
        <w:t>教育，注重宣传实效</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年度我局强化内部交流宣传学习、开展了重大主题普法宣传。</w:t>
      </w:r>
    </w:p>
    <w:p w:rsidR="00C11041" w:rsidRDefault="001923D4">
      <w:pPr>
        <w:pStyle w:val="a3"/>
        <w:widowControl/>
        <w:numPr>
          <w:ilvl w:val="0"/>
          <w:numId w:val="3"/>
        </w:numPr>
        <w:shd w:val="clear" w:color="auto" w:fill="FFFFFF"/>
        <w:spacing w:before="100" w:beforeAutospacing="0" w:after="100" w:afterAutospacing="0" w:line="23" w:lineRule="atLeast"/>
        <w:ind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提升工作人员法治素养</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解读：</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年我局</w:t>
      </w:r>
      <w:r>
        <w:rPr>
          <w:rFonts w:ascii="仿宋_GB2312" w:eastAsia="仿宋_GB2312" w:hAnsi="仿宋_GB2312" w:cs="仿宋_GB2312" w:hint="eastAsia"/>
          <w:color w:val="333333"/>
          <w:sz w:val="32"/>
          <w:szCs w:val="32"/>
          <w:shd w:val="clear" w:color="auto" w:fill="FFFFFF"/>
        </w:rPr>
        <w:t>工作人积极参与法治培训学习，设专门法治工作人员</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名。年内参加浦东新区组织相关培训</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次。</w:t>
      </w:r>
    </w:p>
    <w:p w:rsidR="00C11041" w:rsidRDefault="001923D4">
      <w:pPr>
        <w:pStyle w:val="a3"/>
        <w:widowControl/>
        <w:numPr>
          <w:ilvl w:val="0"/>
          <w:numId w:val="4"/>
        </w:numPr>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单位主要负责人</w:t>
      </w:r>
      <w:r>
        <w:rPr>
          <w:rFonts w:ascii="仿宋_GB2312" w:eastAsia="仿宋_GB2312" w:hAnsi="仿宋_GB2312" w:cs="仿宋_GB2312" w:hint="eastAsia"/>
          <w:b/>
          <w:bCs/>
          <w:color w:val="333333"/>
          <w:sz w:val="32"/>
          <w:szCs w:val="32"/>
          <w:shd w:val="clear" w:color="auto" w:fill="FFFFFF"/>
        </w:rPr>
        <w:t>20</w:t>
      </w:r>
      <w:r>
        <w:rPr>
          <w:rFonts w:ascii="仿宋_GB2312" w:eastAsia="仿宋_GB2312" w:hAnsi="仿宋_GB2312" w:cs="仿宋_GB2312" w:hint="eastAsia"/>
          <w:b/>
          <w:bCs/>
          <w:color w:val="333333"/>
          <w:sz w:val="32"/>
          <w:szCs w:val="32"/>
          <w:shd w:val="clear" w:color="auto" w:fill="FFFFFF"/>
        </w:rPr>
        <w:t>22</w:t>
      </w:r>
      <w:r>
        <w:rPr>
          <w:rFonts w:ascii="仿宋_GB2312" w:eastAsia="仿宋_GB2312" w:hAnsi="仿宋_GB2312" w:cs="仿宋_GB2312" w:hint="eastAsia"/>
          <w:b/>
          <w:bCs/>
          <w:color w:val="333333"/>
          <w:sz w:val="32"/>
          <w:szCs w:val="32"/>
          <w:shd w:val="clear" w:color="auto" w:fill="FFFFFF"/>
        </w:rPr>
        <w:t>年度履行推进法治建设第一责任人职责情况</w:t>
      </w:r>
    </w:p>
    <w:p w:rsidR="00C11041" w:rsidRDefault="001923D4">
      <w:pPr>
        <w:pStyle w:val="a3"/>
        <w:widowControl/>
        <w:numPr>
          <w:ilvl w:val="0"/>
          <w:numId w:val="5"/>
        </w:numPr>
        <w:shd w:val="clear" w:color="auto" w:fill="FFFFFF"/>
        <w:spacing w:before="100" w:beforeAutospacing="0" w:after="100" w:afterAutospacing="0" w:line="23" w:lineRule="atLeast"/>
        <w:ind w:left="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提升</w:t>
      </w:r>
      <w:r>
        <w:rPr>
          <w:rFonts w:ascii="仿宋_GB2312" w:eastAsia="仿宋_GB2312" w:hAnsi="仿宋_GB2312" w:cs="仿宋_GB2312" w:hint="eastAsia"/>
          <w:color w:val="333333"/>
          <w:sz w:val="32"/>
          <w:szCs w:val="32"/>
          <w:shd w:val="clear" w:color="auto" w:fill="FFFFFF"/>
        </w:rPr>
        <w:t>思想认识，强化责任担当</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年我局</w:t>
      </w:r>
      <w:r>
        <w:rPr>
          <w:rFonts w:ascii="仿宋_GB2312" w:eastAsia="仿宋_GB2312" w:hAnsi="仿宋_GB2312" w:cs="仿宋_GB2312" w:hint="eastAsia"/>
          <w:color w:val="333333"/>
          <w:sz w:val="32"/>
          <w:szCs w:val="32"/>
          <w:shd w:val="clear" w:color="auto" w:fill="FFFFFF"/>
        </w:rPr>
        <w:t>高度重视落实法治政府建设工作，明确任务要求，做到年初有分工、年中有督察、年末有考核。分工具体指《金桥管理局</w:t>
      </w:r>
      <w:r>
        <w:rPr>
          <w:rFonts w:ascii="仿宋_GB2312" w:eastAsia="仿宋_GB2312" w:hAnsi="仿宋_GB2312" w:cs="仿宋_GB2312" w:hint="eastAsia"/>
          <w:color w:val="333333"/>
          <w:sz w:val="32"/>
          <w:szCs w:val="32"/>
          <w:shd w:val="clear" w:color="auto" w:fill="FFFFFF"/>
        </w:rPr>
        <w:t>2022</w:t>
      </w:r>
      <w:r>
        <w:rPr>
          <w:rFonts w:ascii="仿宋_GB2312" w:eastAsia="仿宋_GB2312" w:hAnsi="仿宋_GB2312" w:cs="仿宋_GB2312" w:hint="eastAsia"/>
          <w:color w:val="333333"/>
          <w:sz w:val="32"/>
          <w:szCs w:val="32"/>
          <w:shd w:val="clear" w:color="auto" w:fill="FFFFFF"/>
        </w:rPr>
        <w:t>年落实“四个责任制”工作总体方案》，监督、考核工作也围绕此方案进行。</w:t>
      </w:r>
    </w:p>
    <w:p w:rsidR="00C11041" w:rsidRDefault="001923D4">
      <w:pPr>
        <w:pStyle w:val="a3"/>
        <w:widowControl/>
        <w:numPr>
          <w:ilvl w:val="0"/>
          <w:numId w:val="5"/>
        </w:numPr>
        <w:shd w:val="clear" w:color="auto" w:fill="FFFFFF"/>
        <w:spacing w:before="100" w:beforeAutospacing="0" w:after="100" w:afterAutospacing="0" w:line="23" w:lineRule="atLeast"/>
        <w:ind w:left="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完善合规管理，细化制度建设</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解读：我局</w:t>
      </w:r>
      <w:r>
        <w:rPr>
          <w:rFonts w:ascii="仿宋_GB2312" w:eastAsia="仿宋_GB2312" w:hAnsi="仿宋_GB2312" w:cs="仿宋_GB2312" w:hint="eastAsia"/>
          <w:color w:val="333333"/>
          <w:sz w:val="32"/>
          <w:szCs w:val="32"/>
          <w:shd w:val="clear" w:color="auto" w:fill="FFFFFF"/>
        </w:rPr>
        <w:t>推进“三重一大”制度和内部控制制度细化工作，深化完善合同管理工作。“三重一大”即重大问题决策、重要干部任免、重大项目投资决策、大额资金使用。</w:t>
      </w:r>
    </w:p>
    <w:p w:rsidR="00C11041" w:rsidRDefault="001923D4">
      <w:pPr>
        <w:pStyle w:val="a3"/>
        <w:widowControl/>
        <w:numPr>
          <w:ilvl w:val="0"/>
          <w:numId w:val="5"/>
        </w:numPr>
        <w:shd w:val="clear" w:color="auto" w:fill="FFFFFF"/>
        <w:spacing w:before="100" w:beforeAutospacing="0" w:after="100" w:afterAutospacing="0" w:line="23" w:lineRule="atLeast"/>
        <w:ind w:left="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率先垂范，发挥“头雁效应”</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解读：领导班子率先垂范以身作则，同时通过召开党组中心组（扩大）专题学习会议，领导干部于会上交流学习心得体会。</w:t>
      </w:r>
    </w:p>
    <w:p w:rsidR="00C11041" w:rsidRDefault="001923D4">
      <w:pPr>
        <w:pStyle w:val="a3"/>
        <w:widowControl/>
        <w:numPr>
          <w:ilvl w:val="0"/>
          <w:numId w:val="4"/>
        </w:numPr>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color w:val="333333"/>
          <w:sz w:val="32"/>
          <w:szCs w:val="32"/>
          <w:shd w:val="clear" w:color="auto" w:fill="FFFFFF"/>
        </w:rPr>
        <w:t>202</w:t>
      </w:r>
      <w:r>
        <w:rPr>
          <w:rFonts w:ascii="仿宋_GB2312" w:eastAsia="仿宋_GB2312" w:hAnsi="仿宋_GB2312" w:cs="仿宋_GB2312" w:hint="eastAsia"/>
          <w:b/>
          <w:bCs/>
          <w:color w:val="333333"/>
          <w:sz w:val="32"/>
          <w:szCs w:val="32"/>
          <w:shd w:val="clear" w:color="auto" w:fill="FFFFFF"/>
        </w:rPr>
        <w:t>3</w:t>
      </w:r>
      <w:r>
        <w:rPr>
          <w:rFonts w:ascii="仿宋_GB2312" w:eastAsia="仿宋_GB2312" w:hAnsi="仿宋_GB2312" w:cs="仿宋_GB2312" w:hint="eastAsia"/>
          <w:b/>
          <w:bCs/>
          <w:color w:val="333333"/>
          <w:sz w:val="32"/>
          <w:szCs w:val="32"/>
          <w:shd w:val="clear" w:color="auto" w:fill="FFFFFF"/>
        </w:rPr>
        <w:t>年度推进法治政府建设主要安排</w:t>
      </w:r>
    </w:p>
    <w:p w:rsidR="00C11041" w:rsidRDefault="001923D4" w:rsidP="001923D4">
      <w:pPr>
        <w:pStyle w:val="a3"/>
        <w:widowControl/>
        <w:numPr>
          <w:ilvl w:val="0"/>
          <w:numId w:val="6"/>
        </w:numPr>
        <w:shd w:val="clear" w:color="auto" w:fill="FFFFFF"/>
        <w:spacing w:before="100" w:beforeAutospacing="0" w:after="100" w:afterAutospacing="0" w:line="23" w:lineRule="atLeast"/>
        <w:ind w:leftChars="300" w:left="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继续抓好全域普法宣传</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解读：我局</w:t>
      </w:r>
      <w:r>
        <w:rPr>
          <w:rFonts w:ascii="仿宋_GB2312" w:eastAsia="仿宋_GB2312" w:hAnsi="仿宋_GB2312" w:cs="仿宋_GB2312" w:hint="eastAsia"/>
          <w:color w:val="333333"/>
          <w:sz w:val="32"/>
          <w:szCs w:val="32"/>
          <w:shd w:val="clear" w:color="auto" w:fill="FFFFFF"/>
        </w:rPr>
        <w:t>普法宣传工作主要包括国家安全日、宪法宣传周等重大主题积极开展法治宣传活动以及内部学习、以案释法作警示教育活动。</w:t>
      </w:r>
    </w:p>
    <w:p w:rsidR="00C11041" w:rsidRDefault="001923D4">
      <w:pPr>
        <w:pStyle w:val="a3"/>
        <w:widowControl/>
        <w:numPr>
          <w:ilvl w:val="0"/>
          <w:numId w:val="6"/>
        </w:numPr>
        <w:shd w:val="clear" w:color="auto" w:fill="FFFFFF"/>
        <w:spacing w:before="100" w:beforeAutospacing="0" w:after="100" w:afterAutospacing="0" w:line="23" w:lineRule="atLeast"/>
        <w:ind w:leftChars="300" w:left="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进一步</w:t>
      </w:r>
      <w:r>
        <w:rPr>
          <w:rFonts w:ascii="仿宋_GB2312" w:eastAsia="仿宋_GB2312" w:hAnsi="仿宋_GB2312" w:cs="仿宋_GB2312" w:hint="eastAsia"/>
          <w:color w:val="333333"/>
          <w:sz w:val="32"/>
          <w:szCs w:val="32"/>
          <w:shd w:val="clear" w:color="auto" w:fill="FFFFFF"/>
        </w:rPr>
        <w:t>优化营商环境</w:t>
      </w:r>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解读：我局</w:t>
      </w:r>
      <w:r>
        <w:rPr>
          <w:rFonts w:ascii="仿宋_GB2312" w:eastAsia="仿宋_GB2312" w:hAnsi="仿宋_GB2312" w:cs="仿宋_GB2312" w:hint="eastAsia"/>
          <w:color w:val="333333"/>
          <w:sz w:val="32"/>
          <w:szCs w:val="32"/>
          <w:shd w:val="clear" w:color="auto" w:fill="FFFFFF"/>
        </w:rPr>
        <w:t>持续强化政企沟通协调，提高行政服务效能。</w:t>
      </w:r>
    </w:p>
    <w:p w:rsidR="00C11041" w:rsidRDefault="001923D4">
      <w:pPr>
        <w:pStyle w:val="a3"/>
        <w:widowControl/>
        <w:numPr>
          <w:ilvl w:val="0"/>
          <w:numId w:val="6"/>
        </w:numPr>
        <w:shd w:val="clear" w:color="auto" w:fill="FFFFFF"/>
        <w:spacing w:before="100" w:beforeAutospacing="0" w:after="100" w:afterAutospacing="0" w:line="23" w:lineRule="atLeast"/>
        <w:ind w:leftChars="300" w:left="63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进一步推进</w:t>
      </w:r>
      <w:r>
        <w:rPr>
          <w:rFonts w:ascii="仿宋_GB2312" w:eastAsia="仿宋_GB2312" w:hAnsi="仿宋_GB2312" w:cs="仿宋_GB2312" w:hint="eastAsia"/>
          <w:color w:val="333333"/>
          <w:sz w:val="32"/>
          <w:szCs w:val="32"/>
          <w:shd w:val="clear" w:color="auto" w:fill="FFFFFF"/>
        </w:rPr>
        <w:t>法治建设工作品牌</w:t>
      </w:r>
      <w:r>
        <w:rPr>
          <w:rFonts w:ascii="仿宋_GB2312" w:eastAsia="仿宋_GB2312" w:hAnsi="仿宋_GB2312" w:cs="仿宋_GB2312" w:hint="eastAsia"/>
          <w:color w:val="333333"/>
          <w:sz w:val="32"/>
          <w:szCs w:val="32"/>
          <w:shd w:val="clear" w:color="auto" w:fill="FFFFFF"/>
        </w:rPr>
        <w:t>建设工作</w:t>
      </w:r>
      <w:bookmarkStart w:id="0" w:name="_GoBack"/>
      <w:bookmarkEnd w:id="0"/>
    </w:p>
    <w:p w:rsidR="00C11041" w:rsidRDefault="001923D4">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解读：建设法治建设工作品牌主要是指挖掘出金桥城市精细化管理领域的特点、亮点。</w:t>
      </w:r>
    </w:p>
    <w:p w:rsidR="00C11041" w:rsidRDefault="00C11041">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p>
    <w:p w:rsidR="00C11041" w:rsidRDefault="00C11041">
      <w:pPr>
        <w:pStyle w:val="a3"/>
        <w:widowControl/>
        <w:shd w:val="clear" w:color="auto" w:fill="FFFFFF"/>
        <w:spacing w:before="100" w:beforeAutospacing="0" w:after="100" w:afterAutospacing="0" w:line="23" w:lineRule="atLeast"/>
        <w:rPr>
          <w:rFonts w:ascii="仿宋_GB2312" w:eastAsia="仿宋_GB2312" w:hAnsi="仿宋_GB2312" w:cs="仿宋_GB2312"/>
          <w:b/>
          <w:bCs/>
          <w:color w:val="333333"/>
          <w:sz w:val="32"/>
          <w:szCs w:val="32"/>
          <w:shd w:val="clear" w:color="auto" w:fill="FFFFFF"/>
        </w:rPr>
      </w:pPr>
    </w:p>
    <w:p w:rsidR="00C11041" w:rsidRDefault="00C11041">
      <w:pPr>
        <w:pStyle w:val="a3"/>
        <w:widowControl/>
        <w:shd w:val="clear" w:color="auto" w:fill="FFFFFF"/>
        <w:spacing w:before="100" w:beforeAutospacing="0" w:after="100" w:afterAutospacing="0" w:line="23" w:lineRule="atLeast"/>
        <w:rPr>
          <w:rFonts w:ascii="仿宋_GB2312" w:eastAsia="仿宋_GB2312" w:hAnsi="仿宋_GB2312" w:cs="仿宋_GB2312"/>
          <w:color w:val="333333"/>
          <w:sz w:val="32"/>
          <w:szCs w:val="32"/>
        </w:rPr>
      </w:pPr>
    </w:p>
    <w:p w:rsidR="00C11041" w:rsidRDefault="00C11041">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p>
    <w:p w:rsidR="00C11041" w:rsidRDefault="00C11041">
      <w:pPr>
        <w:pStyle w:val="a3"/>
        <w:widowControl/>
        <w:shd w:val="clear" w:color="auto" w:fill="FFFFFF"/>
        <w:spacing w:before="100" w:beforeAutospacing="0" w:after="100" w:afterAutospacing="0" w:line="23" w:lineRule="atLeast"/>
        <w:ind w:left="840" w:firstLine="420"/>
        <w:rPr>
          <w:rFonts w:ascii="仿宋_GB2312" w:eastAsia="仿宋_GB2312" w:hAnsi="仿宋_GB2312" w:cs="仿宋_GB2312"/>
          <w:color w:val="333333"/>
          <w:sz w:val="32"/>
          <w:szCs w:val="32"/>
          <w:shd w:val="clear" w:color="auto" w:fill="FFFFFF"/>
        </w:rPr>
      </w:pPr>
    </w:p>
    <w:p w:rsidR="00C11041" w:rsidRDefault="00C11041"/>
    <w:sectPr w:rsidR="00C11041" w:rsidSect="00C110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2CD51"/>
    <w:multiLevelType w:val="singleLevel"/>
    <w:tmpl w:val="8FA2CD51"/>
    <w:lvl w:ilvl="0">
      <w:start w:val="1"/>
      <w:numFmt w:val="decimal"/>
      <w:suff w:val="nothing"/>
      <w:lvlText w:val="%1、"/>
      <w:lvlJc w:val="left"/>
    </w:lvl>
  </w:abstractNum>
  <w:abstractNum w:abstractNumId="1">
    <w:nsid w:val="93EC0847"/>
    <w:multiLevelType w:val="singleLevel"/>
    <w:tmpl w:val="93EC0847"/>
    <w:lvl w:ilvl="0">
      <w:start w:val="1"/>
      <w:numFmt w:val="chineseCounting"/>
      <w:suff w:val="nothing"/>
      <w:lvlText w:val="（%1）"/>
      <w:lvlJc w:val="left"/>
      <w:rPr>
        <w:rFonts w:hint="eastAsia"/>
      </w:rPr>
    </w:lvl>
  </w:abstractNum>
  <w:abstractNum w:abstractNumId="2">
    <w:nsid w:val="DA3DB580"/>
    <w:multiLevelType w:val="singleLevel"/>
    <w:tmpl w:val="DA3DB580"/>
    <w:lvl w:ilvl="0">
      <w:start w:val="5"/>
      <w:numFmt w:val="chineseCounting"/>
      <w:suff w:val="nothing"/>
      <w:lvlText w:val="（%1）"/>
      <w:lvlJc w:val="left"/>
      <w:rPr>
        <w:rFonts w:hint="eastAsia"/>
      </w:rPr>
    </w:lvl>
  </w:abstractNum>
  <w:abstractNum w:abstractNumId="3">
    <w:nsid w:val="ECAB5A44"/>
    <w:multiLevelType w:val="singleLevel"/>
    <w:tmpl w:val="ECAB5A44"/>
    <w:lvl w:ilvl="0">
      <w:start w:val="1"/>
      <w:numFmt w:val="chineseCounting"/>
      <w:suff w:val="nothing"/>
      <w:lvlText w:val="（%1）"/>
      <w:lvlJc w:val="left"/>
      <w:rPr>
        <w:rFonts w:hint="eastAsia"/>
      </w:rPr>
    </w:lvl>
  </w:abstractNum>
  <w:abstractNum w:abstractNumId="4">
    <w:nsid w:val="FBCC7386"/>
    <w:multiLevelType w:val="singleLevel"/>
    <w:tmpl w:val="FBCC7386"/>
    <w:lvl w:ilvl="0">
      <w:start w:val="2"/>
      <w:numFmt w:val="chineseCounting"/>
      <w:suff w:val="nothing"/>
      <w:lvlText w:val="%1、"/>
      <w:lvlJc w:val="left"/>
      <w:rPr>
        <w:rFonts w:hint="eastAsia"/>
      </w:rPr>
    </w:lvl>
  </w:abstractNum>
  <w:abstractNum w:abstractNumId="5">
    <w:nsid w:val="19BFEEFB"/>
    <w:multiLevelType w:val="singleLevel"/>
    <w:tmpl w:val="19BFEEFB"/>
    <w:lvl w:ilvl="0">
      <w:start w:val="1"/>
      <w:numFmt w:val="chineseCounting"/>
      <w:suff w:val="nothing"/>
      <w:lvlText w:val="（%1）"/>
      <w:lvlJc w:val="left"/>
      <w:pPr>
        <w:ind w:left="-220"/>
      </w:pPr>
      <w:rPr>
        <w:rFonts w:hint="eastAsia"/>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hiYjQ1ZDdhMjE5OTJhZmM4YmE0YzBlYjIyZjFkMDUifQ=="/>
  </w:docVars>
  <w:rsids>
    <w:rsidRoot w:val="4A762B21"/>
    <w:rsid w:val="001923D4"/>
    <w:rsid w:val="00C11041"/>
    <w:rsid w:val="1EAD5485"/>
    <w:rsid w:val="4A762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104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C11041"/>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1041"/>
    <w:pPr>
      <w:spacing w:beforeAutospacing="1" w:afterAutospacing="1"/>
      <w:jc w:val="left"/>
    </w:pPr>
    <w:rPr>
      <w:rFonts w:cs="Times New Roman"/>
      <w:kern w:val="0"/>
      <w:sz w:val="24"/>
    </w:rPr>
  </w:style>
  <w:style w:type="character" w:styleId="a4">
    <w:name w:val="Emphasis"/>
    <w:basedOn w:val="a0"/>
    <w:qFormat/>
    <w:rsid w:val="00C11041"/>
    <w:rPr>
      <w: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731D8B-D5C2-47F6-AF5D-16D77CCB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钱科杰</dc:creator>
  <cp:lastModifiedBy>Administrator</cp:lastModifiedBy>
  <cp:revision>3</cp:revision>
  <dcterms:created xsi:type="dcterms:W3CDTF">2023-02-22T07:44:00Z</dcterms:created>
  <dcterms:modified xsi:type="dcterms:W3CDTF">2023-02-23T05:43:00Z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CF2BB20301D34A72BEDC39AE92075E01</vt:lpwstr>
  </property>
</Properties>
</file>