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1D249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对</w:t>
      </w:r>
      <w:r>
        <w:rPr>
          <w:rFonts w:hint="eastAsia" w:ascii="方正小标宋简体" w:eastAsia="方正小标宋简体"/>
          <w:sz w:val="44"/>
          <w:szCs w:val="44"/>
        </w:rPr>
        <w:t>《书院镇处置地下空间突发事件专项应急预案》的通知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解读</w:t>
      </w:r>
    </w:p>
    <w:p w14:paraId="1844F112">
      <w:pPr>
        <w:pStyle w:val="2"/>
        <w:rPr>
          <w:rFonts w:hint="eastAsia"/>
          <w:lang w:val="en-US" w:eastAsia="zh-CN"/>
        </w:rPr>
      </w:pPr>
    </w:p>
    <w:p w14:paraId="4285F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为贯彻落实习近平新时代中国特色社会主义思想，适应本镇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特点和未来发展需要，有效预防、及时应对街镇地下空间突发事件，建立健全浦东新区地下空间应急处置指挥体系、保障体系、防范体系，规范地下空间突发事件应急处置程序，提高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地下空间安全使用管理水平和抗风险能力，保障人民群众生命财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产安全，维护城市安全运行和社会稳定。</w:t>
      </w:r>
    </w:p>
    <w:p w14:paraId="3F51A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6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组织体系</w:t>
      </w:r>
    </w:p>
    <w:p w14:paraId="321D76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 w:firstLine="572" w:firstLineChars="200"/>
        <w:textAlignment w:val="auto"/>
        <w:rPr>
          <w:rFonts w:eastAsia="华文仿宋" w:cs="宋体" w:asciiTheme="majorEastAsia" w:hAnsiTheme="majorEastAsia"/>
          <w:spacing w:val="-7"/>
          <w:sz w:val="30"/>
          <w:szCs w:val="32"/>
          <w:lang w:eastAsia="zh-CN"/>
        </w:rPr>
      </w:pPr>
      <w:r>
        <w:rPr>
          <w:rFonts w:eastAsia="华文仿宋" w:cs="宋体" w:asciiTheme="majorEastAsia" w:hAnsiTheme="majorEastAsia"/>
          <w:spacing w:val="-7"/>
          <w:sz w:val="30"/>
          <w:szCs w:val="32"/>
          <w:lang w:eastAsia="zh-CN"/>
        </w:rPr>
        <w:t>书镇党委副书记、镇长任总召集人，分管领导为副总召集人，各相关职能部门为成员单位。成员单位由党群办</w:t>
      </w:r>
      <w:r>
        <w:rPr>
          <w:rFonts w:hint="eastAsia" w:eastAsia="华文仿宋" w:cs="宋体" w:asciiTheme="majorEastAsia" w:hAnsiTheme="majorEastAsia"/>
          <w:spacing w:val="-7"/>
          <w:sz w:val="30"/>
          <w:szCs w:val="32"/>
          <w:lang w:eastAsia="zh-CN"/>
        </w:rPr>
        <w:t>(宣统和组织)</w:t>
      </w:r>
      <w:r>
        <w:rPr>
          <w:rFonts w:eastAsia="华文仿宋" w:cs="宋体" w:asciiTheme="majorEastAsia" w:hAnsiTheme="majorEastAsia"/>
          <w:spacing w:val="-7"/>
          <w:sz w:val="30"/>
          <w:szCs w:val="32"/>
          <w:lang w:eastAsia="zh-CN"/>
        </w:rPr>
        <w:t>、规建办、</w:t>
      </w:r>
      <w:r>
        <w:rPr>
          <w:rFonts w:hint="eastAsia" w:eastAsia="华文仿宋" w:cs="宋体" w:asciiTheme="majorEastAsia" w:hAnsiTheme="majorEastAsia"/>
          <w:spacing w:val="-7"/>
          <w:sz w:val="30"/>
          <w:szCs w:val="32"/>
          <w:lang w:val="en-US" w:eastAsia="zh-CN"/>
        </w:rPr>
        <w:t>精细</w:t>
      </w:r>
      <w:r>
        <w:rPr>
          <w:rFonts w:eastAsia="华文仿宋" w:cs="宋体" w:asciiTheme="majorEastAsia" w:hAnsiTheme="majorEastAsia"/>
          <w:spacing w:val="-7"/>
          <w:sz w:val="30"/>
          <w:szCs w:val="32"/>
          <w:lang w:eastAsia="zh-CN"/>
        </w:rPr>
        <w:t>办、经发办、社</w:t>
      </w:r>
      <w:r>
        <w:rPr>
          <w:rFonts w:hint="eastAsia" w:eastAsia="华文仿宋" w:cs="宋体" w:asciiTheme="majorEastAsia" w:hAnsiTheme="majorEastAsia"/>
          <w:spacing w:val="-7"/>
          <w:sz w:val="30"/>
          <w:szCs w:val="32"/>
          <w:lang w:val="en-US" w:eastAsia="zh-CN"/>
        </w:rPr>
        <w:t>工</w:t>
      </w:r>
      <w:r>
        <w:rPr>
          <w:rFonts w:eastAsia="华文仿宋" w:cs="宋体" w:asciiTheme="majorEastAsia" w:hAnsiTheme="majorEastAsia"/>
          <w:spacing w:val="-7"/>
          <w:sz w:val="30"/>
          <w:szCs w:val="32"/>
          <w:lang w:eastAsia="zh-CN"/>
        </w:rPr>
        <w:t>办、平安办、武装部、城建中心、</w:t>
      </w:r>
      <w:r>
        <w:rPr>
          <w:rFonts w:eastAsia="华文仿宋" w:cs="宋体" w:asciiTheme="majorEastAsia" w:hAnsiTheme="majorEastAsia"/>
          <w:color w:val="auto"/>
          <w:spacing w:val="-7"/>
          <w:sz w:val="30"/>
          <w:szCs w:val="32"/>
          <w:lang w:eastAsia="zh-CN"/>
        </w:rPr>
        <w:t>城运中心</w:t>
      </w:r>
      <w:r>
        <w:rPr>
          <w:rFonts w:eastAsia="华文仿宋" w:cs="宋体" w:asciiTheme="majorEastAsia" w:hAnsiTheme="majorEastAsia"/>
          <w:spacing w:val="-7"/>
          <w:sz w:val="30"/>
          <w:szCs w:val="32"/>
          <w:lang w:eastAsia="zh-CN"/>
        </w:rPr>
        <w:t>、城管中队、派出所、市场监管所、财政所、消防救援支队和相关居委。</w:t>
      </w:r>
    </w:p>
    <w:p w14:paraId="6BCE7E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72" w:firstLineChars="200"/>
        <w:textAlignment w:val="auto"/>
        <w:rPr>
          <w:rFonts w:hint="eastAsia" w:eastAsia="华文仿宋" w:cs="宋体" w:asciiTheme="majorEastAsia" w:hAnsiTheme="majorEastAsia"/>
          <w:spacing w:val="-7"/>
          <w:sz w:val="30"/>
          <w:szCs w:val="32"/>
          <w:lang w:val="en-US" w:eastAsia="zh-CN"/>
        </w:rPr>
      </w:pPr>
      <w:r>
        <w:rPr>
          <w:rFonts w:hint="eastAsia" w:eastAsia="华文仿宋" w:cs="宋体" w:asciiTheme="majorEastAsia" w:hAnsiTheme="majorEastAsia"/>
          <w:spacing w:val="-7"/>
          <w:sz w:val="30"/>
          <w:szCs w:val="32"/>
          <w:lang w:val="en-US" w:eastAsia="zh-CN"/>
        </w:rPr>
        <w:t>主要内容</w:t>
      </w:r>
    </w:p>
    <w:p w14:paraId="286A73E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72" w:firstLineChars="200"/>
        <w:textAlignment w:val="auto"/>
        <w:rPr>
          <w:rFonts w:hint="eastAsia" w:eastAsia="华文仿宋" w:cs="宋体" w:asciiTheme="majorEastAsia" w:hAnsiTheme="majorEastAsia"/>
          <w:spacing w:val="-7"/>
          <w:sz w:val="30"/>
          <w:szCs w:val="32"/>
          <w:lang w:val="en-US" w:eastAsia="zh-CN"/>
        </w:rPr>
      </w:pPr>
      <w:r>
        <w:rPr>
          <w:rFonts w:hint="eastAsia" w:eastAsia="华文仿宋" w:cs="宋体" w:asciiTheme="majorEastAsia" w:hAnsiTheme="majorEastAsia"/>
          <w:spacing w:val="-7"/>
          <w:sz w:val="30"/>
          <w:szCs w:val="32"/>
          <w:lang w:val="en-US" w:eastAsia="zh-CN"/>
        </w:rPr>
        <w:t>应急响应：根据突发事件等级、值班人员报告值班领导并启动联动机制，并按流程启动预案，实施分级响应行动；</w:t>
      </w:r>
    </w:p>
    <w:p w14:paraId="59A693D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2" w:firstLineChars="200"/>
        <w:textAlignment w:val="auto"/>
        <w:rPr>
          <w:rFonts w:hint="default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  <w:r>
        <w:rPr>
          <w:rFonts w:hint="eastAsia" w:eastAsia="华文仿宋" w:cs="宋体" w:asciiTheme="majorEastAsia" w:hAnsiTheme="majorEastAsia"/>
          <w:spacing w:val="-7"/>
          <w:sz w:val="30"/>
          <w:szCs w:val="32"/>
          <w:lang w:val="en-US" w:eastAsia="zh-CN"/>
        </w:rPr>
        <w:t>2、</w:t>
      </w:r>
      <w:r>
        <w:rPr>
          <w:rFonts w:hint="eastAsia" w:eastAsia="华文仿宋" w:cs="宋体" w:asciiTheme="majorEastAsia" w:hAnsiTheme="majorEastAsia"/>
          <w:spacing w:val="-7"/>
          <w:sz w:val="30"/>
          <w:szCs w:val="32"/>
          <w:lang w:eastAsia="zh-CN"/>
        </w:rPr>
        <w:t>应急</w:t>
      </w:r>
      <w:r>
        <w:rPr>
          <w:rFonts w:hint="eastAsia" w:eastAsia="华文仿宋" w:cs="宋体" w:asciiTheme="majorEastAsia" w:hAnsiTheme="majorEastAsia"/>
          <w:spacing w:val="-7"/>
          <w:sz w:val="30"/>
          <w:szCs w:val="32"/>
          <w:lang w:val="en-US" w:eastAsia="zh-CN"/>
        </w:rPr>
        <w:t>处置：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根据突发事件等级一般分为：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 xml:space="preserve">IV级(一般)、Ⅲ级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(较重)、Ⅱ级(严重)和 I 级(特别严重)：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现场分为警戒、救援、人员疏散、医疗救助等相关处置措施；</w:t>
      </w:r>
    </w:p>
    <w:p w14:paraId="5AC4A44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后期处置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现场清理、善后处置、预案终止及事故调查等；</w:t>
      </w:r>
    </w:p>
    <w:p w14:paraId="23DC0F4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提供通讯保障、信息保障、救护保障、人员保障、装备保障、资金保障。</w:t>
      </w:r>
    </w:p>
    <w:p w14:paraId="749064A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编制，明确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各部门职责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优化地下空间的组织体系，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地下空间设施建设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镇地下空间突发事件处置能力。</w:t>
      </w:r>
    </w:p>
    <w:p w14:paraId="709E3DB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88CAE"/>
    <w:multiLevelType w:val="singleLevel"/>
    <w:tmpl w:val="96D88CA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B742B89"/>
    <w:multiLevelType w:val="singleLevel"/>
    <w:tmpl w:val="EB742B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YzI4MzUxZTRkNWUyZmNkMjVjNWFkNWRiM2E3MDYifQ=="/>
  </w:docVars>
  <w:rsids>
    <w:rsidRoot w:val="00000000"/>
    <w:rsid w:val="764B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unhideWhenUsed/>
    <w:qFormat/>
    <w:uiPriority w:val="0"/>
    <w:pPr>
      <w:spacing w:after="120" w:line="480" w:lineRule="auto"/>
      <w:ind w:firstLine="20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2024-08-19T02:06:54Z</dcterms:created>
  <dc:creator>gf456</dc:creator>
  <cp:lastModifiedBy>gf456</cp:lastModifiedBy>
  <dcterms:modified xsi:type="dcterms:W3CDTF">2024-08-19T07:12:25Z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37EB8FF00FA84107BD342A4000CE290C_12</vt:lpwstr>
  </property>
</Properties>
</file>