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outlineLvl w:val="0"/>
        <w:rPr>
          <w:rFonts w:hint="eastAsia" w:ascii="Times New Roman" w:hAnsi="Times New Roman" w:eastAsia="仿宋_GB2312" w:cs="Times New Roman"/>
          <w:bCs/>
          <w:color w:val="000000"/>
          <w:kern w:val="44"/>
          <w:sz w:val="32"/>
          <w:szCs w:val="32"/>
          <w:u w:val="none"/>
          <w:lang w:eastAsia="zh-CN"/>
        </w:rPr>
      </w:pPr>
      <w:r>
        <w:rPr>
          <w:rFonts w:ascii="Times New Roman" w:hAnsi="Times New Roman" w:eastAsia="仿宋_GB2312" w:cs="Times New Roman"/>
          <w:bCs/>
          <w:color w:val="000000"/>
          <w:kern w:val="44"/>
          <w:sz w:val="32"/>
          <w:szCs w:val="32"/>
          <w:u w:val="none"/>
        </w:rPr>
        <w:t>附</w:t>
      </w:r>
      <w:r>
        <w:rPr>
          <w:rFonts w:hint="eastAsia" w:ascii="Times New Roman" w:hAnsi="Times New Roman" w:eastAsia="仿宋_GB2312" w:cs="Times New Roman"/>
          <w:bCs/>
          <w:color w:val="000000"/>
          <w:kern w:val="44"/>
          <w:sz w:val="32"/>
          <w:szCs w:val="32"/>
          <w:u w:val="none"/>
          <w:lang w:eastAsia="zh-CN"/>
        </w:rPr>
        <w:t>件</w:t>
      </w:r>
    </w:p>
    <w:p>
      <w:pPr>
        <w:overflowPunct w:val="0"/>
        <w:spacing w:line="560" w:lineRule="exact"/>
        <w:jc w:val="center"/>
        <w:outlineLvl w:val="0"/>
        <w:rPr>
          <w:rFonts w:ascii="Times New Roman" w:hAnsi="Times New Roman" w:eastAsia="方正小标宋_GBK" w:cs="Times New Roman"/>
          <w:bCs/>
          <w:color w:val="000000"/>
          <w:kern w:val="44"/>
          <w:sz w:val="36"/>
          <w:szCs w:val="36"/>
          <w:u w:val="none"/>
        </w:rPr>
      </w:pPr>
      <w:r>
        <w:rPr>
          <w:rFonts w:ascii="Times New Roman" w:hAnsi="Times New Roman" w:eastAsia="方正小标宋_GBK" w:cs="Times New Roman"/>
          <w:bCs/>
          <w:color w:val="000000"/>
          <w:kern w:val="44"/>
          <w:sz w:val="36"/>
          <w:szCs w:val="36"/>
          <w:u w:val="none"/>
        </w:rPr>
        <w:t>浦东新区城市数字化转型三年行动计划重点任务列表</w:t>
      </w:r>
    </w:p>
    <w:p>
      <w:pPr>
        <w:pStyle w:val="2"/>
        <w:rPr>
          <w:u w:val="none"/>
        </w:rPr>
      </w:pPr>
    </w:p>
    <w:tbl>
      <w:tblPr>
        <w:tblStyle w:val="6"/>
        <w:tblW w:w="5027"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84"/>
        <w:gridCol w:w="1603"/>
        <w:gridCol w:w="1489"/>
        <w:gridCol w:w="6523"/>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289" w:type="pct"/>
            <w:shd w:val="clear" w:color="auto" w:fill="FFFFFF"/>
            <w:vAlign w:val="center"/>
          </w:tcPr>
          <w:p>
            <w:pPr>
              <w:widowControl/>
              <w:adjustRightInd w:val="0"/>
              <w:snapToGrid w:val="0"/>
              <w:jc w:val="center"/>
              <w:rPr>
                <w:rFonts w:hint="eastAsia" w:ascii="黑体" w:hAnsi="黑体" w:eastAsia="黑体" w:cs="黑体"/>
                <w:b w:val="0"/>
                <w:bCs w:val="0"/>
                <w:color w:val="000000"/>
                <w:kern w:val="0"/>
                <w:sz w:val="28"/>
                <w:szCs w:val="28"/>
                <w:u w:val="none"/>
              </w:rPr>
            </w:pPr>
            <w:r>
              <w:rPr>
                <w:rFonts w:hint="eastAsia" w:ascii="黑体" w:hAnsi="黑体" w:eastAsia="黑体" w:cs="黑体"/>
                <w:b w:val="0"/>
                <w:bCs w:val="0"/>
                <w:color w:val="000000"/>
                <w:kern w:val="0"/>
                <w:sz w:val="28"/>
                <w:szCs w:val="28"/>
                <w:u w:val="none"/>
              </w:rPr>
              <w:t>序号</w:t>
            </w:r>
          </w:p>
        </w:tc>
        <w:tc>
          <w:tcPr>
            <w:tcW w:w="310" w:type="pct"/>
            <w:shd w:val="clear" w:color="auto" w:fill="FFFFFF"/>
            <w:vAlign w:val="center"/>
          </w:tcPr>
          <w:p>
            <w:pPr>
              <w:widowControl/>
              <w:adjustRightInd w:val="0"/>
              <w:snapToGrid w:val="0"/>
              <w:jc w:val="center"/>
              <w:rPr>
                <w:rFonts w:hint="eastAsia" w:ascii="黑体" w:hAnsi="黑体" w:eastAsia="黑体" w:cs="黑体"/>
                <w:b w:val="0"/>
                <w:bCs w:val="0"/>
                <w:color w:val="000000"/>
                <w:kern w:val="0"/>
                <w:sz w:val="28"/>
                <w:szCs w:val="28"/>
                <w:u w:val="none"/>
              </w:rPr>
            </w:pPr>
            <w:r>
              <w:rPr>
                <w:rFonts w:hint="eastAsia" w:ascii="黑体" w:hAnsi="黑体" w:eastAsia="黑体" w:cs="黑体"/>
                <w:b w:val="0"/>
                <w:bCs w:val="0"/>
                <w:color w:val="000000"/>
                <w:kern w:val="0"/>
                <w:sz w:val="28"/>
                <w:szCs w:val="28"/>
                <w:u w:val="none"/>
              </w:rPr>
              <w:t>领域</w:t>
            </w:r>
          </w:p>
        </w:tc>
        <w:tc>
          <w:tcPr>
            <w:tcW w:w="562" w:type="pct"/>
            <w:shd w:val="clear" w:color="auto" w:fill="FFFFFF"/>
            <w:vAlign w:val="center"/>
          </w:tcPr>
          <w:p>
            <w:pPr>
              <w:widowControl/>
              <w:adjustRightInd w:val="0"/>
              <w:snapToGrid w:val="0"/>
              <w:jc w:val="center"/>
              <w:rPr>
                <w:rFonts w:hint="eastAsia" w:ascii="黑体" w:hAnsi="黑体" w:eastAsia="黑体" w:cs="黑体"/>
                <w:b w:val="0"/>
                <w:bCs w:val="0"/>
                <w:color w:val="000000"/>
                <w:kern w:val="0"/>
                <w:sz w:val="28"/>
                <w:szCs w:val="28"/>
                <w:u w:val="none"/>
              </w:rPr>
            </w:pPr>
            <w:r>
              <w:rPr>
                <w:rFonts w:hint="eastAsia" w:ascii="黑体" w:hAnsi="黑体" w:eastAsia="黑体" w:cs="黑体"/>
                <w:b w:val="0"/>
                <w:bCs w:val="0"/>
                <w:color w:val="000000"/>
                <w:kern w:val="0"/>
                <w:sz w:val="28"/>
                <w:szCs w:val="28"/>
                <w:u w:val="none"/>
              </w:rPr>
              <w:t>方　向</w:t>
            </w:r>
          </w:p>
        </w:tc>
        <w:tc>
          <w:tcPr>
            <w:tcW w:w="522" w:type="pct"/>
            <w:shd w:val="clear" w:color="auto" w:fill="FFFFFF"/>
            <w:vAlign w:val="center"/>
          </w:tcPr>
          <w:p>
            <w:pPr>
              <w:widowControl/>
              <w:adjustRightInd w:val="0"/>
              <w:snapToGrid w:val="0"/>
              <w:jc w:val="center"/>
              <w:rPr>
                <w:rFonts w:hint="eastAsia" w:ascii="黑体" w:hAnsi="黑体" w:eastAsia="黑体" w:cs="黑体"/>
                <w:b w:val="0"/>
                <w:bCs w:val="0"/>
                <w:color w:val="000000"/>
                <w:kern w:val="0"/>
                <w:sz w:val="28"/>
                <w:szCs w:val="28"/>
                <w:u w:val="none"/>
              </w:rPr>
            </w:pPr>
            <w:r>
              <w:rPr>
                <w:rFonts w:hint="eastAsia" w:ascii="黑体" w:hAnsi="黑体" w:eastAsia="黑体" w:cs="黑体"/>
                <w:b w:val="0"/>
                <w:bCs w:val="0"/>
                <w:color w:val="000000"/>
                <w:kern w:val="0"/>
                <w:sz w:val="28"/>
                <w:szCs w:val="28"/>
                <w:u w:val="none"/>
              </w:rPr>
              <w:t>任务名称</w:t>
            </w:r>
          </w:p>
        </w:tc>
        <w:tc>
          <w:tcPr>
            <w:tcW w:w="2287" w:type="pct"/>
            <w:shd w:val="clear" w:color="auto" w:fill="FFFFFF"/>
            <w:vAlign w:val="center"/>
          </w:tcPr>
          <w:p>
            <w:pPr>
              <w:widowControl/>
              <w:adjustRightInd w:val="0"/>
              <w:snapToGrid w:val="0"/>
              <w:jc w:val="center"/>
              <w:rPr>
                <w:rFonts w:hint="eastAsia" w:ascii="黑体" w:hAnsi="黑体" w:eastAsia="黑体" w:cs="黑体"/>
                <w:b w:val="0"/>
                <w:bCs w:val="0"/>
                <w:color w:val="000000"/>
                <w:kern w:val="0"/>
                <w:sz w:val="28"/>
                <w:szCs w:val="28"/>
                <w:u w:val="none"/>
              </w:rPr>
            </w:pPr>
            <w:r>
              <w:rPr>
                <w:rFonts w:hint="eastAsia" w:ascii="黑体" w:hAnsi="黑体" w:eastAsia="黑体" w:cs="黑体"/>
                <w:b w:val="0"/>
                <w:bCs w:val="0"/>
                <w:color w:val="000000"/>
                <w:kern w:val="0"/>
                <w:sz w:val="28"/>
                <w:szCs w:val="28"/>
                <w:u w:val="none"/>
              </w:rPr>
              <w:t>主　要　内　容　</w:t>
            </w:r>
          </w:p>
        </w:tc>
        <w:tc>
          <w:tcPr>
            <w:tcW w:w="1027" w:type="pct"/>
            <w:shd w:val="clear" w:color="auto" w:fill="FFFFFF"/>
            <w:vAlign w:val="center"/>
          </w:tcPr>
          <w:p>
            <w:pPr>
              <w:widowControl/>
              <w:adjustRightInd w:val="0"/>
              <w:snapToGrid w:val="0"/>
              <w:jc w:val="center"/>
              <w:rPr>
                <w:rFonts w:hint="eastAsia" w:ascii="黑体" w:hAnsi="黑体" w:eastAsia="黑体" w:cs="黑体"/>
                <w:b w:val="0"/>
                <w:bCs w:val="0"/>
                <w:color w:val="000000"/>
                <w:kern w:val="0"/>
                <w:sz w:val="28"/>
                <w:szCs w:val="28"/>
                <w:u w:val="none"/>
              </w:rPr>
            </w:pPr>
            <w:r>
              <w:rPr>
                <w:rFonts w:hint="eastAsia" w:ascii="黑体" w:hAnsi="黑体" w:eastAsia="黑体" w:cs="黑体"/>
                <w:b w:val="0"/>
                <w:bCs w:val="0"/>
                <w:color w:val="000000"/>
                <w:kern w:val="0"/>
                <w:sz w:val="28"/>
                <w:szCs w:val="28"/>
                <w:u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w:t>
            </w:r>
          </w:p>
        </w:tc>
        <w:tc>
          <w:tcPr>
            <w:tcW w:w="310"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字</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经</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济</w:t>
            </w: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强化资</w:t>
            </w:r>
            <w:r>
              <w:rPr>
                <w:rFonts w:hint="eastAsia" w:ascii="Times New Roman" w:hAnsi="Times New Roman" w:eastAsia="仿宋_GB2312" w:cs="Times New Roman"/>
                <w:color w:val="000000"/>
                <w:kern w:val="0"/>
                <w:sz w:val="28"/>
                <w:szCs w:val="28"/>
                <w:u w:val="none"/>
                <w:lang w:eastAsia="zh-CN"/>
              </w:rPr>
              <w:t>源</w:t>
            </w:r>
            <w:r>
              <w:rPr>
                <w:rFonts w:ascii="Times New Roman" w:hAnsi="Times New Roman" w:eastAsia="仿宋_GB2312" w:cs="Times New Roman"/>
                <w:color w:val="000000"/>
                <w:kern w:val="0"/>
                <w:sz w:val="28"/>
                <w:szCs w:val="28"/>
                <w:u w:val="none"/>
              </w:rPr>
              <w:t>禀赋凝聚</w:t>
            </w:r>
            <w:r>
              <w:rPr>
                <w:rFonts w:hint="eastAsia" w:ascii="Times New Roman" w:hAnsi="Times New Roman" w:eastAsia="仿宋_GB2312" w:cs="Times New Roman"/>
                <w:color w:val="000000"/>
                <w:kern w:val="0"/>
                <w:sz w:val="28"/>
                <w:szCs w:val="28"/>
                <w:u w:val="none"/>
                <w:lang w:val="en-US" w:eastAsia="zh-CN"/>
              </w:rPr>
              <w:t>，</w:t>
            </w:r>
            <w:r>
              <w:rPr>
                <w:rFonts w:ascii="Times New Roman" w:hAnsi="Times New Roman" w:eastAsia="仿宋_GB2312" w:cs="Times New Roman"/>
                <w:color w:val="000000"/>
                <w:kern w:val="0"/>
                <w:sz w:val="28"/>
                <w:szCs w:val="28"/>
                <w:u w:val="none"/>
              </w:rPr>
              <w:t>构建协同创新的</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数字经济</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生</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态</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培育壮大数字经济企</w:t>
            </w:r>
            <w:r>
              <w:rPr>
                <w:rFonts w:hint="eastAsia" w:ascii="Times New Roman" w:hAnsi="Times New Roman" w:eastAsia="仿宋_GB2312" w:cs="Times New Roman"/>
                <w:color w:val="000000"/>
                <w:kern w:val="0"/>
                <w:sz w:val="28"/>
                <w:szCs w:val="28"/>
                <w:u w:val="none"/>
                <w:lang w:val="en-US" w:eastAsia="zh-CN"/>
              </w:rPr>
              <w:t xml:space="preserve">  </w:t>
            </w:r>
            <w:r>
              <w:rPr>
                <w:rFonts w:ascii="Times New Roman" w:hAnsi="Times New Roman" w:eastAsia="仿宋_GB2312" w:cs="Times New Roman"/>
                <w:color w:val="000000"/>
                <w:kern w:val="0"/>
                <w:sz w:val="28"/>
                <w:szCs w:val="28"/>
                <w:u w:val="none"/>
              </w:rPr>
              <w:t>业</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打造数字经济产业集群，以临港、张江、陆家嘴、金桥等数字产业园区为载体 ，聚集培育数字经济领军企业、高成长性企业，打造具有国际竞争力的万亿级数字经济服务业创新带</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区国资委、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自贸区各管理局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推动大中小企业融通发展 ，发挥龙头企业示范带动作用，推动线上线下相结合的创新协同、产能共享、供应链互通，汇聚“专精特新”数字经济企业</w:t>
            </w:r>
          </w:p>
        </w:tc>
        <w:tc>
          <w:tcPr>
            <w:tcW w:w="1027" w:type="pct"/>
            <w:vMerge w:val="continue"/>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推动国有企业数字化转型，加快实现生产数字化、业务数字化、管理数字化、决策数字化</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深化数字技术研发应</w:t>
            </w:r>
            <w:r>
              <w:rPr>
                <w:rFonts w:hint="eastAsia" w:ascii="Times New Roman" w:hAnsi="Times New Roman" w:eastAsia="仿宋_GB2312" w:cs="Times New Roman"/>
                <w:color w:val="000000"/>
                <w:kern w:val="0"/>
                <w:sz w:val="28"/>
                <w:szCs w:val="28"/>
                <w:u w:val="none"/>
                <w:lang w:val="en-US" w:eastAsia="zh-CN"/>
              </w:rPr>
              <w:t xml:space="preserve">  </w:t>
            </w:r>
            <w:r>
              <w:rPr>
                <w:rFonts w:ascii="Times New Roman" w:hAnsi="Times New Roman" w:eastAsia="仿宋_GB2312" w:cs="Times New Roman"/>
                <w:color w:val="000000"/>
                <w:kern w:val="0"/>
                <w:sz w:val="28"/>
                <w:szCs w:val="28"/>
                <w:u w:val="none"/>
              </w:rPr>
              <w:t>用</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加强关键核心技术攻关和产业化应用，聚焦硬核科技产业，探索6G、量子通信、类脑智能等前沿技术攻关突破，建设和布局一批创新中心、创新平台，支撑产业数字化转型共性技术研发和成果转化</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自贸区各管理局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布局重大科技基础设施。推动标志性、稀缺性重大科技基础设施建设，形成功能完备、相互衔接的高水平科技创新基地</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强化关键赛道布局，构建示范引领的</w:t>
            </w:r>
          </w:p>
          <w:p>
            <w:pPr>
              <w:widowControl/>
              <w:adjustRightInd w:val="0"/>
              <w:snapToGrid w:val="0"/>
              <w:jc w:val="center"/>
              <w:rPr>
                <w:rFonts w:hint="eastAsia" w:ascii="Times New Roman" w:hAnsi="Times New Roman" w:eastAsia="仿宋_GB2312" w:cs="Times New Roman"/>
                <w:color w:val="000000"/>
                <w:kern w:val="0"/>
                <w:sz w:val="28"/>
                <w:szCs w:val="28"/>
                <w:u w:val="none"/>
                <w:lang w:eastAsia="zh-CN"/>
              </w:rPr>
            </w:pPr>
            <w:r>
              <w:rPr>
                <w:rFonts w:ascii="Times New Roman" w:hAnsi="Times New Roman" w:eastAsia="仿宋_GB2312" w:cs="Times New Roman"/>
                <w:color w:val="000000"/>
                <w:kern w:val="0"/>
                <w:sz w:val="28"/>
                <w:szCs w:val="28"/>
                <w:u w:val="none"/>
              </w:rPr>
              <w:t>数字产业动</w:t>
            </w:r>
            <w:r>
              <w:rPr>
                <w:rFonts w:hint="eastAsia" w:ascii="Times New Roman" w:hAnsi="Times New Roman" w:eastAsia="仿宋_GB2312" w:cs="Times New Roman"/>
                <w:color w:val="000000"/>
                <w:kern w:val="0"/>
                <w:sz w:val="28"/>
                <w:szCs w:val="28"/>
                <w:u w:val="none"/>
                <w:lang w:eastAsia="zh-CN"/>
              </w:rPr>
              <w:t>　能　</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加快人工智能产业优化升级</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促进人工智能产业集聚，发挥人工智能创新应用先导区先发优势，建设完善人工智能芯片、智能机器人、系统解决方案等产业体系，打造人工智能产业评估、技术测评、行业数据应用等公共服务平台。</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自贸区张江管理</w:t>
            </w:r>
            <w:r>
              <w:rPr>
                <w:rFonts w:hint="eastAsia" w:ascii="Times New Roman" w:hAnsi="Times New Roman" w:eastAsia="仿宋_GB2312" w:cs="Times New Roman"/>
                <w:color w:val="000000"/>
                <w:kern w:val="0"/>
                <w:sz w:val="28"/>
                <w:szCs w:val="28"/>
                <w:u w:val="none"/>
                <w:lang w:eastAsia="zh-CN"/>
              </w:rPr>
              <w:t>局</w:t>
            </w:r>
            <w:r>
              <w:rPr>
                <w:rFonts w:ascii="Times New Roman" w:hAnsi="Times New Roman" w:eastAsia="仿宋_GB2312" w:cs="Times New Roman"/>
                <w:color w:val="000000"/>
                <w:kern w:val="0"/>
                <w:sz w:val="28"/>
                <w:szCs w:val="28"/>
                <w:u w:val="none"/>
              </w:rPr>
              <w:t>、</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区卫生健康委、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区建交委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深化人工智能创新应用，积极开展医疗、制造、交通等重点领域人工智能创新应用与标杆项目建设，推动人工智能标志性产品、平台和服务在浦东先行先试</w:t>
            </w:r>
          </w:p>
        </w:tc>
        <w:tc>
          <w:tcPr>
            <w:tcW w:w="1027" w:type="pct"/>
            <w:vMerge w:val="continue"/>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举办高水平人工智能场景活动，举办世界人工智能大会等相关活动，发布场景创新成果，提供高端交流平台，吸引人工智能各领域龙头企业落地浦东</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化</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元宇宙</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产</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业</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布</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局</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加快元宇宙产业集聚，发挥张江数链（元宇宙）产业基地等载体作用，招引“元宇宙”相关头部企业、领军企业和“链主”企业入驻浦东新区</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区文体旅游局、</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区建交委、</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区教育局、</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区卫生健康委、</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自贸区各管理局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培育发展元宇宙新业态，加快智能人机交互、虚拟数字人等核心技术攻关和脑机接口等终端技术研制，培育虚拟演唱会、虚拟偶像、虚拟体育等数字娱乐消费新业态</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打造元宇宙行业示范应用，在网络文娱、智能制造、数字内容、交通出行、在线教育、医疗健康等领域，打造具有影响力的元宇宙示范应用</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培育国际化大数据产</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业</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动数据要素产业集聚，深化“一核三园两港”产业空间布局，集聚一批数据运营商、数据服务商、第三方咨询机构等数据交易上下游企业，培育数据经纪、数据运营、数据质量评估、数据审计、数据资产评估、数据交易撮合等新业态、新模式</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区商务委、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区金融局、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自贸区各管理局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推进数据融合创新应用，建设一批大数据联合创新实验室，打造一批数据融合应用场景</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研究制定数据交易等领域的专项法规，在数据权属、数据资产、数商生态等方面加强探索，推动数据要素流通交易</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加快发</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展在线</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新经济</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推动在线新经济企业集群发展，深化张江在线新经济生态园建设，瞄准新零售、数字文创、数字内容、在线医疗等重点领域，培育一批掌握核心技术、拥有自主知识产权、具有国际竞争力的高成长性创新企业</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区文体旅游局、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区商务委、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区金融局、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区卫生健康委、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自贸区张江管理局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打造在线新经济新业态，发挥浦东特色电商、网络视听、在线展览展示、在线金融等领域新兴头部企业的示范作用，以流量平台激活实体商业，鼓励传统商贸企业向全渠道运营商、新零售企业转型</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强化重点产业转型，构建百业争鸣的</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经济发展</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蓝</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图</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加快工</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业数字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化转型</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推进智能工厂建设，聚焦高端装备、汽车制造、航空航天、生物医药、电子信息等硬核产业，加快建设一批示范智能工厂</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自贸区各管理局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培育工业智能技术与解决方案供给生态，提升工业机器人、高端数控机床、自主无人系统的智能化水平，发展具有深度感知、智慧决策、自动执行功能的成套装备智能制造及智能化生产线</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深化工业互联网产业生态体系建设，支持龙头企业打造行业级工业互联网平台，推动工业互联网创新发展，带动中小企业数字化转型</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加快金</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融数字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化转型</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金融数据港建设，聚焦支付、清算、征信、监管、安全、标准等功能，打造金融数字化转型的实践区、金融数据企业的集聚区、金融数据场景应用的示范区、金融数据创新监管的试验区和金融数据标准的先导区</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区金融局、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ascii="Times New Roman" w:hAnsi="Times New Roman" w:eastAsia="仿宋_GB2312" w:cs="Times New Roman"/>
                <w:color w:val="000000"/>
                <w:kern w:val="0"/>
                <w:sz w:val="28"/>
                <w:szCs w:val="28"/>
                <w:u w:val="none"/>
              </w:rPr>
              <w:t>自贸区陆家嘴管理</w:t>
            </w:r>
            <w:r>
              <w:rPr>
                <w:rFonts w:hint="eastAsia" w:ascii="Times New Roman" w:hAnsi="Times New Roman" w:eastAsia="仿宋_GB2312" w:cs="Times New Roman"/>
                <w:color w:val="000000"/>
                <w:kern w:val="0"/>
                <w:sz w:val="28"/>
                <w:szCs w:val="28"/>
                <w:u w:val="none"/>
                <w:lang w:eastAsia="zh-CN"/>
              </w:rPr>
              <w:t>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张江集团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打造全球金融科技产业集聚高地，重点集聚资产管理类、货币经纪类、商业保险类国际金融科技公司，强化人工智能、区块链等金融科技核心技术研发，提升金融科技底层和关键技术自主掌控能力</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创新建设金融科技场景应用，建设金融数据公共创新平台，发挥金融数据潜在价值，培育一批创新性强、应用性广、示范性良好的金融科技场景应用示范项目</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加快航</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运数字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化转型</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鼓励航运科技研发应用，协调支持研发机构和企业在智慧港口、船舶自主航行、气象导航、安全预警、北斗定位等重点技术领域开展研发并推广应用</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区商务委、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自贸区保税区管理局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持续推进航运数字化转型标准体系建设，推动船舶供应物料产品目录数字化和标准化，制定发布航运大数据分类编码地方标准和航运数据合规地方标准</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加快商</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贸数字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化转型</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打造国际消费中心数字化标杆，鼓励企业以多维数据为基础，推动人体分析、图像识别等新技术、新产品在商务领域应用，打造一批示范性数字商圈商街</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区商务委、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区文体旅游局、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自贸区各管理局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建设跨境电子商务综合试验区，完善跨境电商进出口全产业链，引进培育一批高能级跨境电商平台类企业，打造进博会线上跨境交易重要承载区</w:t>
            </w:r>
          </w:p>
        </w:tc>
        <w:tc>
          <w:tcPr>
            <w:tcW w:w="1027" w:type="pct"/>
            <w:vMerge w:val="continue"/>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培育国际化数字贸易品牌，深耕数字贸易发展，引进集聚一批引领数字贸易发展的代表企业，并加快建设数据服务出口基地、金融服务出口基地等国家级基地</w:t>
            </w:r>
          </w:p>
        </w:tc>
        <w:tc>
          <w:tcPr>
            <w:tcW w:w="1027" w:type="pct"/>
            <w:vMerge w:val="continue"/>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完善智能化的世界级物流通道，完善江海空铁公联运、中转、集拼为一体的智能化集疏运体系和配套产业集群建设，支撑上海成为世界一流海空枢纽门户</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29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加快农</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业数字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化转型</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深化数字农业生产示范基地建设，围绕特色农业，建设一批数字农业生产示范基地，强化农业生产节本增效</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区农业农村委、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创新农业数字化监管服务能力，基于农业用地“一张图”，叠加相关数据，构建农业农村监管体系，强化对农业生产经营主体、农资生产经营主体、农机服务主体等对象的智能化监管</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31</w:t>
            </w:r>
          </w:p>
        </w:tc>
        <w:tc>
          <w:tcPr>
            <w:tcW w:w="310"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生</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活</w:t>
            </w: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打造数字普惠服务，全面惠及基本民生</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优化智</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能便捷</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的医疗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健</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康</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务</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夯实医疗健康信息基础，持续推动医疗健康信息的全域互联互通、开放共享，扩大检验、检查的互认范围，全面推行医保电子就医记录册</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区卫生健康委、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区文体旅游局、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区民政局、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推进医疗机构服务数字化转型，加快智慧医院建设，完善以患者为中心的智慧医疗服务模式，并推动“社区卫生服务中心＋互联网”发展，深化家庭医生签约、健康管理、健康照护、药品配送等智能化服务</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推进就医服务场景建设，深化精准预约、智能预问诊、脱卡挂号、诊间支付、智慧急救等“便捷就医”重点场景，不断改善市民就医体验</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构建全民参与的数字健身体系，打造全民健身公共服务信息平台，举办线上体育赛事活动，推进健身场馆、体育场馆数字化转型，发展智能赛车、智能跑步等健身项目</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构建创</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新变革</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教</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育</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推进数字校园建设，持续推进标杆校培育校建设，建成50所智慧校园试点学校，以标杆校引领促进数字校园建设全面普及</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区教育局、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打造智慧共生课堂，发挥上海市教育综合改革示范区和国家级信息化教学实验区叠加效应，推进基于教学改革、融合信息技术的新型教与学模式实验，拓展线上线下融合教学和大数据驱动的精准教学</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探索区域人工智能与编程教育，建设人工智能与编程教育实验中心和实验校，构建以人工智能为核心的学习主题数据库和学科知识图谱，以及课程资源体系、教学信息化支撑服务体系</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建设完善浦东优质教育资源共享平台，持续更新拓展涵盖学校、教职工、学生的主题数据库，打造学校数据管理服务、校园安全防疫精准管控、招生服务、教育舆情精准监测等场景</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39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构建精</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准高效</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就</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业</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务</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优化“家门口”就业服务体系，做实做精家门口就业服务平台，扩大居村就业服务移动终端部署范围，通过信息验证和归集生成需求画像，促进劳动力供需一键匹配，多渠道解决家门口就业需求</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区人社局、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区民政局、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加大劳动保障监察力度，聚焦招聘企业、培训机构等对象，接入分析社保、税务等部门监管数据和企业经营相关指标数据，优化劳务派遣监管、培训机构监管等场景</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构建资</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源整合</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家</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园</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务</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完善数字社区服务体系，深化“家门口”服务智能化平台建设，加强各类服务渠道对接和服务资源整合，促进服务关口前移，提供商业、办事、出行、养老等一站式服务</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区民政局、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区文体旅游局、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区委网信办、</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构建高品质社区学习空间，推动多媒体教室、电子阅览室进社区，并联合政企多方力量，组织开展数字化应用教学培训和信息安全宣传讲座，提高市民数字化能力和信息安全防范意识</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打造数字品质服务，全面提升质量民生</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深化高</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效便捷</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的智能</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出</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行</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验</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优化完善智慧公交出行服务，完善公交信息发布系统功能，并通过升级改造电子站牌设备、优化算法等手段，拓展车辆拥挤度等服务内容，提高公交到站信息预报准确率</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区建交委、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区委宣传部、</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区卫生健康委、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营造智能便捷的停车服务，持续推进医院、公园景点、大型文体场馆等场所的停车泊位预约和道路停车场智能化改造，并加快与市公共停车平台对接，提升停车管理服务水平</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创新科</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创融合</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文</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旅</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务</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强化公共文化数字服务能级，升级公共文化配送平台，开展浦东全区认证、点单、配送、评价、巡查、统计等工作，推动街镇以上公共文化场所 100% 提供云预约、云直播、云培训、云展览、云市集等数字化服务</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区文体旅游局、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度假区管委会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优化数字旅游服务体验，推进上海国际旅游度假区智慧旅游应用示范建设，立足“一部手机全景游浦东”，打造集出行、游览、购物、住宿的一站式精准旅游服务世界级样板</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加强文物智能保护和传承力度，强化建筑文物安全智能管理，拓展基于元宇宙、互联网等技术的文物保护宣传渠道和建筑可阅读导览内容，提升市民参观游览体验</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营造高</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能绚丽</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消</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费</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氛</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围</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鼓励传统商业提供智慧化的商圈商街服务，创新5G应用场景，拓展基于数据的精准化、个性化服务，提供精准营销、智能导购、AR互动、无感支付等服务</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区商务委、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区民政局、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49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持续增强社区商业服务功能，打造数字化的本地生活服务圈，持续推进智慧早餐、智慧菜场、智能末端配送等场景建设，提供线上线下融合的商业服务</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打造数字关爱</w:t>
            </w:r>
            <w:r>
              <w:rPr>
                <w:rFonts w:hint="eastAsia" w:ascii="Times New Roman" w:hAnsi="Times New Roman" w:eastAsia="仿宋_GB2312" w:cs="Times New Roman"/>
                <w:color w:val="000000"/>
                <w:kern w:val="0"/>
                <w:sz w:val="28"/>
                <w:szCs w:val="28"/>
                <w:u w:val="none"/>
                <w:lang w:eastAsia="zh-CN"/>
              </w:rPr>
              <w:t>服</w:t>
            </w:r>
            <w:r>
              <w:rPr>
                <w:rFonts w:ascii="Times New Roman" w:hAnsi="Times New Roman" w:eastAsia="仿宋_GB2312" w:cs="Times New Roman"/>
                <w:color w:val="000000"/>
                <w:kern w:val="0"/>
                <w:sz w:val="28"/>
                <w:szCs w:val="28"/>
                <w:u w:val="none"/>
              </w:rPr>
              <w:t>务，全面兜牢底线民生</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发展科</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技赋能</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的数字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养</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老</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环</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境</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推广应用适老化产品和服务，探索利用市场机制推广“为老服务一键通”，强化智能化技术和设施产品在家庭、社区、机构等领域的应用，培育一批智慧养老应用示范基地、示范社区和示范品牌</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区民政局、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强化长者智能技术应用能力，深入老年人集中的场所，分级分类建设“数字伙伴计划·微站点”，加强老年人数字技能教育和培训，助力老年人跨越“数字鸿沟”</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扩大城乡居民养老保险覆盖面，优化医保经办适老化线上线下服务渠道，提升经办便捷度，努力做到应保尽保</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发展精</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准智能</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的扶助</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救</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助</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模</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式</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建立社会救助困难群众需求综合评估体系，梳理社会救助帮困数据，整合社会救助帮困资源，精准掌握困难群众需求，完善“会浦东”社会救助双向认领项目品牌</w:t>
            </w:r>
          </w:p>
        </w:tc>
        <w:tc>
          <w:tcPr>
            <w:tcW w:w="1027" w:type="pct"/>
            <w:vMerge w:val="restart"/>
            <w:shd w:val="clear" w:color="auto" w:fill="auto"/>
            <w:vAlign w:val="center"/>
          </w:tcPr>
          <w:p>
            <w:pPr>
              <w:widowControl/>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ascii="Times New Roman" w:hAnsi="Times New Roman" w:eastAsia="仿宋_GB2312" w:cs="Times New Roman"/>
                <w:color w:val="000000"/>
                <w:kern w:val="0"/>
                <w:sz w:val="28"/>
                <w:szCs w:val="28"/>
                <w:u w:val="none"/>
              </w:rPr>
              <w:t>区民政局</w:t>
            </w:r>
            <w:r>
              <w:rPr>
                <w:rFonts w:hint="eastAsia" w:ascii="Times New Roman" w:hAnsi="Times New Roman" w:eastAsia="仿宋_GB2312" w:cs="Times New Roman"/>
                <w:color w:val="000000"/>
                <w:kern w:val="0"/>
                <w:sz w:val="28"/>
                <w:szCs w:val="28"/>
                <w:u w:val="none"/>
                <w:lang w:eastAsia="zh-CN"/>
              </w:rPr>
              <w:t>、</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完善浦东新区精准救助平台，推进精准救助平台和“社区云”平台整合，打造涵盖救助帮困业务管理、困难群众精准画像、综合监管功能一体化的应用场景体系，强化政策找人、精准救助的实战功能</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55</w:t>
            </w:r>
          </w:p>
        </w:tc>
        <w:tc>
          <w:tcPr>
            <w:tcW w:w="310"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治</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理</w:t>
            </w: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化</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“一网统管”建设，提升现代化治理能级</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持续推</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进“三级</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平</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系</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设</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推进浦东“城市大脑”4.0版迭代升级，打造前端智能感知网、中端流程再造中心、后端效能监管平台，建设完善城市运行“数字体征”和“数字底图”体系，推动“城市大脑”由智能化向智慧化跃进。</w:t>
            </w:r>
          </w:p>
        </w:tc>
        <w:tc>
          <w:tcPr>
            <w:tcW w:w="1027" w:type="pct"/>
            <w:vMerge w:val="restart"/>
            <w:shd w:val="clear" w:color="auto" w:fill="auto"/>
            <w:vAlign w:val="center"/>
          </w:tcPr>
          <w:p>
            <w:pPr>
              <w:widowControl/>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hint="eastAsia" w:ascii="Times New Roman" w:hAnsi="Times New Roman" w:eastAsia="仿宋_GB2312" w:cs="Times New Roman"/>
                <w:color w:val="000000"/>
                <w:kern w:val="0"/>
                <w:sz w:val="28"/>
                <w:szCs w:val="28"/>
                <w:u w:val="none"/>
                <w:lang w:eastAsia="zh-CN"/>
              </w:rPr>
              <w:t>区委组织部、</w:t>
            </w:r>
          </w:p>
          <w:p>
            <w:pPr>
              <w:widowControl/>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hint="eastAsia" w:ascii="Times New Roman" w:hAnsi="Times New Roman" w:eastAsia="仿宋_GB2312" w:cs="Times New Roman"/>
                <w:color w:val="000000"/>
                <w:kern w:val="0"/>
                <w:sz w:val="28"/>
                <w:szCs w:val="28"/>
                <w:u w:val="none"/>
                <w:lang w:eastAsia="zh-CN"/>
              </w:rPr>
              <w:t>区电子政务办、</w:t>
            </w:r>
          </w:p>
          <w:p>
            <w:pPr>
              <w:widowControl/>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hint="eastAsia" w:ascii="Times New Roman" w:hAnsi="Times New Roman" w:eastAsia="仿宋_GB2312" w:cs="Times New Roman"/>
                <w:color w:val="000000"/>
                <w:kern w:val="0"/>
                <w:sz w:val="28"/>
                <w:szCs w:val="28"/>
                <w:u w:val="none"/>
                <w:lang w:eastAsia="zh-CN"/>
              </w:rPr>
              <w:t>区地区工作党委、</w:t>
            </w:r>
          </w:p>
          <w:p>
            <w:pPr>
              <w:widowControl/>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hint="eastAsia" w:ascii="Times New Roman" w:hAnsi="Times New Roman" w:eastAsia="仿宋_GB2312" w:cs="Times New Roman"/>
                <w:color w:val="000000"/>
                <w:kern w:val="0"/>
                <w:sz w:val="28"/>
                <w:szCs w:val="28"/>
                <w:u w:val="none"/>
                <w:lang w:eastAsia="zh-CN"/>
              </w:rPr>
              <w:t>区民政局、</w:t>
            </w:r>
          </w:p>
          <w:p>
            <w:pPr>
              <w:widowControl/>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hint="eastAsia" w:ascii="Times New Roman" w:hAnsi="Times New Roman" w:eastAsia="仿宋_GB2312" w:cs="Times New Roman"/>
                <w:color w:val="000000"/>
                <w:kern w:val="0"/>
                <w:sz w:val="28"/>
                <w:szCs w:val="28"/>
                <w:u w:val="none"/>
                <w:lang w:eastAsia="zh-CN"/>
              </w:rPr>
              <w:t>区人社局、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推进街镇智能综合管理平台迭代升级，进一步整合各街镇视频资源、物联感知资源，并通过强化平台枢纽作用，上接区平台、下接居村微平台，建设符合街镇实际业务需求的特色应用场景</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hint="default" w:ascii="Times New Roman" w:hAnsi="Times New Roman" w:eastAsia="仿宋_GB2312" w:cs="Times New Roman"/>
                <w:color w:val="000000"/>
                <w:kern w:val="0"/>
                <w:sz w:val="28"/>
                <w:szCs w:val="28"/>
                <w:u w:val="none"/>
              </w:rPr>
              <w:t>推进居村联勤联动微平台迭代升级</w:t>
            </w:r>
            <w:r>
              <w:rPr>
                <w:rFonts w:hint="eastAsia" w:ascii="Times New Roman" w:hAnsi="Times New Roman" w:eastAsia="仿宋_GB2312" w:cs="Times New Roman"/>
                <w:color w:val="000000"/>
                <w:kern w:val="0"/>
                <w:sz w:val="28"/>
                <w:szCs w:val="28"/>
                <w:u w:val="none"/>
                <w:lang w:eastAsia="zh-CN"/>
              </w:rPr>
              <w:t>，贯彻落实基层减负增能数字化会战，</w:t>
            </w:r>
            <w:r>
              <w:rPr>
                <w:rFonts w:ascii="Times New Roman" w:hAnsi="Times New Roman" w:eastAsia="仿宋_GB2312" w:cs="Times New Roman"/>
                <w:color w:val="000000"/>
                <w:kern w:val="0"/>
                <w:sz w:val="28"/>
                <w:szCs w:val="28"/>
                <w:u w:val="none"/>
              </w:rPr>
              <w:t>加强信息互通、协同联动</w:t>
            </w:r>
            <w:r>
              <w:rPr>
                <w:rFonts w:hint="eastAsia" w:ascii="Times New Roman" w:hAnsi="Times New Roman" w:eastAsia="仿宋_GB2312" w:cs="Times New Roman"/>
                <w:color w:val="000000"/>
                <w:kern w:val="0"/>
                <w:sz w:val="28"/>
                <w:szCs w:val="28"/>
                <w:u w:val="none"/>
                <w:lang w:eastAsia="zh-CN"/>
              </w:rPr>
              <w:t>，为村居组织减负增能</w:t>
            </w:r>
            <w:r>
              <w:rPr>
                <w:rFonts w:ascii="Times New Roman" w:hAnsi="Times New Roman" w:eastAsia="仿宋_GB2312" w:cs="Times New Roman"/>
                <w:color w:val="000000"/>
                <w:kern w:val="0"/>
                <w:sz w:val="28"/>
                <w:szCs w:val="28"/>
                <w:u w:val="none"/>
              </w:rPr>
              <w:t>，并利用AI识别、物联感知、大数据分析等技术，赋能基层更精准地发现、诊断和解决问题，推进各类隐患由“事后处”向“事前防”转变</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持续推</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进“高效</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处</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置</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一件事”</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强化问题处置闭环管理，打通城运平台与数字生活、数字经济、数字服务之间的关联通道，探索形成各部门间联动机制和线上管理模式，提升跨层级、跨区域、跨系统协同处置效率</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科经委、</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行政审批局、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发改委、</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规划资源局、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生态环境局、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建交委、</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农业农村委、</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应急管理局、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市场监管局、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城管执法局、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气象局、</w:t>
            </w:r>
            <w:r>
              <w:rPr>
                <w:rFonts w:hint="eastAsia" w:ascii="Times New Roman" w:hAnsi="Times New Roman" w:eastAsia="仿宋_GB2312" w:cs="Times New Roman"/>
                <w:color w:val="000000"/>
                <w:kern w:val="0"/>
                <w:sz w:val="28"/>
                <w:szCs w:val="28"/>
                <w:u w:val="none"/>
                <w:lang w:eastAsia="zh-CN"/>
              </w:rPr>
              <w:t>区</w:t>
            </w:r>
            <w:r>
              <w:rPr>
                <w:rFonts w:ascii="Times New Roman" w:hAnsi="Times New Roman" w:eastAsia="仿宋_GB2312" w:cs="Times New Roman"/>
                <w:color w:val="000000"/>
                <w:kern w:val="0"/>
                <w:sz w:val="28"/>
                <w:szCs w:val="28"/>
                <w:u w:val="none"/>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59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搭建协同效能智能监管平台，准确反映部门及业务领域的数据共享和复用能力，更好地用数据监管、用数据评价部门的协同处置成效，实现运行情况一屏总览、高频事项智能分析、效能短板即时预警</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化</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“一网统管”场景，提升高效化处置能力</w:t>
            </w: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升级优</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化应急</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管理处</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置能力</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城市安全风险综合监测预警体系和社区灾害综合监测预警平台，并通过深化完善应急指挥管理业务体系，深度对接城市运行“一网统管”平台，推进应急预案结构化，强化安全隐患治理、防台防汛、重大活动、消防业务的分析研判和指挥调度</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区应急管理局、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迭代升</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级“智慧</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气象”应</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用场景</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立城市气象灾害动态风险预警联动机制，对接城市运行“一网统管”平台，打造道路交通大雾风险场景、陆家嘴城市风灾风险场景、气象安全智能监管服务场景、农业气象服务场景等，把风险隐患发现并消除在萌芽状态</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区气象局、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区建交委、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迭代升级城管智能应用体系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聚焦市容、城建、环境、路政、燃气等多个领域，基于城市运行“一网统管”平台，迭代升级渣土治理、排污治理、燃气监管等场景，并通过建立标准化执法检查和办案指引，实现对不同辖区的管理态势分类查询、过程监督和结果评估</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区城管执法局、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深化交通管理智能化应用</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完善“易的PASS”系统，基于城市运行“一网统管”平台，汇聚分析各层、各区间个体级交通主题的位置、状态和目的地等数据，强化交通大数据的共享应用，实现全域、全量、全时、全要素的精准认知</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深化生态环境治理场</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景</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聚焦河湖、绿化、林业、供排水设施、排污企业等对象，基于城市运行“一网统管”平台，构建生态环境领域的数字化转型应用场景，强化数据资源整合、行业监管融合、问题智能发现和部门协同联动功能，全面提高监管效能和处置效率</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区生态环境局、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深化规划智能管理</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场</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景</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加快建设建筑三维、道路等精细模型以及建设工程设计方案智能化辅助分析平台，基于城市运行“一网统管”平台，强化规划方案浏览、辅助审批、方案调整和智能化辅助分析等功能</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区规划资源局、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深化基层共建共治共享，提升精细化治理水平</w:t>
            </w:r>
          </w:p>
        </w:tc>
        <w:tc>
          <w:tcPr>
            <w:tcW w:w="522" w:type="pct"/>
            <w:vMerge w:val="restart"/>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构建党建引领的基层治理</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创新多元参与的基层共治体系，建设基层治理共同体，推动在线社群、线上议事组织、开放式民调、群策群议等应用，引导社区达人、志愿者、团长、楼组长、业委会人员等基层活跃力量参与基层治理</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区民政局、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区建交委、</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推进智慧物业建设，支持物业在疫情防控、智能停车、群组整治等领域建设数字化转型应用场景，提升日常管理和突发事件应急响应处置能力，实现物业日常管理到位、应急处置到位</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68</w:t>
            </w:r>
          </w:p>
        </w:tc>
        <w:tc>
          <w:tcPr>
            <w:tcW w:w="310"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务</w:t>
            </w: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强</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“一网通办”改革，创新融合式服务体系</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构建全时在线、渠道多元的一体化政务服务体系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打造智能便捷的线上线下融合服务，推动PC端、大厅端、移动端、自助端“四端”联动及功能升级，推进政务服务中心标准化、规范化，加快实现线上线下服务标准统一、全面融合、服务同质</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区企业服务中心、</w:t>
            </w:r>
          </w:p>
          <w:p>
            <w:pPr>
              <w:adjustRightInd w:val="0"/>
              <w:snapToGrid w:val="0"/>
              <w:jc w:val="left"/>
              <w:rPr>
                <w:rFonts w:hint="eastAsia" w:ascii="Times New Roman" w:hAnsi="Times New Roman" w:eastAsia="仿宋_GB2312" w:cs="Times New Roman"/>
                <w:color w:val="000000"/>
                <w:kern w:val="0"/>
                <w:sz w:val="28"/>
                <w:szCs w:val="28"/>
                <w:u w:val="none"/>
                <w:lang w:eastAsia="zh-CN"/>
              </w:rPr>
            </w:pPr>
            <w:r>
              <w:rPr>
                <w:rFonts w:hint="eastAsia" w:ascii="Times New Roman" w:hAnsi="Times New Roman" w:eastAsia="仿宋_GB2312" w:cs="Times New Roman"/>
                <w:color w:val="000000"/>
                <w:kern w:val="0"/>
                <w:sz w:val="28"/>
                <w:szCs w:val="28"/>
                <w:u w:val="none"/>
                <w:lang w:eastAsia="zh-CN"/>
              </w:rPr>
              <w:t>区市场监管局、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各政务服务办理点主管部门、</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69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hint="eastAsia" w:ascii="Times New Roman" w:hAnsi="Times New Roman" w:eastAsia="仿宋_GB2312" w:cs="Times New Roman"/>
                <w:color w:val="000000"/>
                <w:kern w:val="0"/>
                <w:sz w:val="28"/>
                <w:szCs w:val="28"/>
                <w:u w:val="none"/>
                <w:lang w:eastAsia="zh-CN"/>
              </w:rPr>
              <w:t>贯彻落实长三角“一网通办”会战，</w:t>
            </w:r>
            <w:r>
              <w:rPr>
                <w:rFonts w:ascii="Times New Roman" w:hAnsi="Times New Roman" w:eastAsia="仿宋_GB2312" w:cs="Times New Roman"/>
                <w:color w:val="000000"/>
                <w:kern w:val="0"/>
                <w:sz w:val="28"/>
                <w:szCs w:val="28"/>
                <w:u w:val="none"/>
              </w:rPr>
              <w:t>推动长三角“一网通办”和跨省通办，推动长三角城市重点领域高频业务全流程网上办理和线下综合窗口建设，提升政务服务国际化和跨区域服务水平</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hint="eastAsia" w:ascii="Times New Roman" w:hAnsi="Times New Roman" w:eastAsia="仿宋_GB2312" w:cs="Times New Roman"/>
                <w:color w:val="000000"/>
                <w:kern w:val="0"/>
                <w:sz w:val="28"/>
                <w:szCs w:val="28"/>
                <w:u w:val="none"/>
                <w:lang w:eastAsia="zh-CN"/>
              </w:rPr>
              <w:t>围绕深化“放管服”改革，配合市级部门实施综合监管（全国市场监管数字化试验区（上海））会战</w:t>
            </w:r>
            <w:r>
              <w:rPr>
                <w:rFonts w:hint="eastAsia" w:ascii="Times New Roman" w:hAnsi="Times New Roman" w:eastAsia="仿宋_GB2312" w:cs="Times New Roman"/>
                <w:color w:val="000000"/>
                <w:kern w:val="0"/>
                <w:sz w:val="28"/>
                <w:szCs w:val="28"/>
                <w:u w:val="none"/>
                <w:lang w:val="en-US" w:eastAsia="zh-CN"/>
              </w:rPr>
              <w:t>。</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持续深化政务服务业务流程再</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造</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推进审批全过程电子化，探索全程电子一体化归档功能和区块链技术在更大范围内应用，以数字技术助推照后减证和简化审批新途径，持续推进审批服务减环节、减材料、减时限、减跑动</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区档案局、</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区电子政务办、</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区审改办、</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以技术赋能提升服务效能，持续深化 “政务智能办”，优化完善窗口“智能帮办”+远程“直达帮办”的智能服务模式，赋能提高审批服务人员履职能力，增强政务服务运行效能，提升企业办事体验感</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深入推进“一件事”改革，持续优化已上线“一件事”，开展办事指南、平台管理信息更新与办件量数据实时对接，围绕企业群众需求强烈的高频事项，新增本区特色“一件事”</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深化电子证照、电子签章、电子票据、电子材料、电子档案等应用，扩大其在政务系统、社会团体、商事等领域的应用范围，推进审批服务全过程智能化、数字化、无纸化</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强</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服务场景应用，创</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新高效率服务体验</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拓展面向企业的全周期服务体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深化浦东新区“企业专属网页”建设，聚焦“千企千面、精准服务”目标定位，在覆盖行政服务的基础上，将企业关注度高、需求大的专业服务功能纳入，持续优化“专属办事”、“专属政策”、“智能客服”等功能板块，提供智能查询、办事服务、政策精准推送、诉求反映等服务，围绕企业全生命周期实现“一件事一次办”</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推动更多服务事项“免申即办”、</w:t>
            </w:r>
            <w:r>
              <w:rPr>
                <w:rFonts w:hint="eastAsia" w:ascii="Times New Roman" w:hAnsi="Times New Roman" w:eastAsia="仿宋_GB2312" w:cs="Times New Roman"/>
                <w:color w:val="000000"/>
                <w:kern w:val="0"/>
                <w:sz w:val="28"/>
                <w:szCs w:val="28"/>
                <w:u w:val="none"/>
                <w:lang w:eastAsia="zh-CN"/>
              </w:rPr>
              <w:t>“</w:t>
            </w:r>
            <w:r>
              <w:rPr>
                <w:rFonts w:ascii="Times New Roman" w:hAnsi="Times New Roman" w:eastAsia="仿宋_GB2312" w:cs="Times New Roman"/>
                <w:color w:val="000000"/>
                <w:kern w:val="0"/>
                <w:sz w:val="28"/>
                <w:szCs w:val="28"/>
                <w:u w:val="none"/>
              </w:rPr>
              <w:t>免申即享”，围绕惠企政策、专项资金、用工就业、服务贸易等领域，加快简单服务事项“免申即办”，推进助企纾困政策精准推送和“免申即享”，助力企业办事从“能办”向“好办”“愿办”转变</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拓展面向个人的全方位服务体</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按照上海市统一部署，依托“一网通办”个人主页，持续优化个人档案，面向个人打造从出生到养老的数字服务体系，提供幼有所育、健康医疗、交通出行、学有所教、住有所居、弱有所扶、老有所养等服务场景应用，不断提升服务的标准化、便利化、智能化水平</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区行政审批局、区卫生健康委、区建交委、区教育局、区规划资源局、区民政局、区生态环境局、区科经委、区商务委、区人社局、区大数据中心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加强数字协同办，创新集约化平台支撑</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提升协同办公智能化水平</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hint="eastAsia" w:ascii="Times New Roman" w:hAnsi="Times New Roman" w:eastAsia="仿宋_GB2312" w:cs="Times New Roman"/>
                <w:color w:val="000000"/>
                <w:kern w:val="0"/>
                <w:sz w:val="28"/>
                <w:szCs w:val="28"/>
                <w:u w:val="none"/>
                <w:lang w:eastAsia="zh-CN"/>
              </w:rPr>
              <w:t>实施“一网协同”一体化办公平台会战，</w:t>
            </w:r>
            <w:r>
              <w:rPr>
                <w:rFonts w:hint="default" w:ascii="Times New Roman" w:hAnsi="Times New Roman" w:eastAsia="仿宋_GB2312" w:cs="Times New Roman"/>
                <w:color w:val="000000"/>
                <w:kern w:val="0"/>
                <w:sz w:val="28"/>
                <w:szCs w:val="28"/>
                <w:u w:val="none"/>
              </w:rPr>
              <w:t>建设全区统一的协同办公平台</w:t>
            </w:r>
            <w:r>
              <w:rPr>
                <w:rFonts w:ascii="Times New Roman" w:hAnsi="Times New Roman" w:eastAsia="仿宋_GB2312" w:cs="Times New Roman"/>
                <w:color w:val="000000"/>
                <w:kern w:val="0"/>
                <w:sz w:val="28"/>
                <w:szCs w:val="28"/>
                <w:u w:val="none"/>
              </w:rPr>
              <w:t>，加快政务协同办公智能化及信创改造，强化统一运维管理和安全加固，推广办文办会、信息简报等协同办公基础应用</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区电子政务办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建设协同办公应用集市，强化全区办公业务的共性统建和个性统筹，支持各部门基于统一平台、统一标准建设个性化办公类应用，开发更多智能化协同化“一件事”</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79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拓展移动办公覆盖范围，提供视频会议、即时通讯、通知提醒等常用功能，探索统一认证、移动应用、协同流程等数字化管理</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80</w:t>
            </w:r>
          </w:p>
        </w:tc>
        <w:tc>
          <w:tcPr>
            <w:tcW w:w="310"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字</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基</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础</w:t>
            </w: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完善新型基础设施布局，激活数字基因</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细</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胞</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统筹优化网络体系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优化区域5G网络布局，重点在商圈、交通枢纽、商务楼宇、医院、学校等人流密集区域，构建多频段协同发展的5G网络体系</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区商务委、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区建交委、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区卫生健康委、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提升千兆光纤网络服务能级，加快实现万兆到楼、千兆到户的光网全区覆盖，推进IPV6规模部署和应用，提升IP</w:t>
            </w:r>
            <w:r>
              <w:rPr>
                <w:rFonts w:hint="eastAsia" w:ascii="Times New Roman" w:hAnsi="Times New Roman" w:eastAsia="仿宋_GB2312" w:cs="Times New Roman"/>
                <w:color w:val="000000"/>
                <w:kern w:val="0"/>
                <w:sz w:val="28"/>
                <w:szCs w:val="28"/>
                <w:u w:val="none"/>
                <w:lang w:eastAsia="zh-CN"/>
              </w:rPr>
              <w:t>Ｖ</w:t>
            </w:r>
            <w:r>
              <w:rPr>
                <w:rFonts w:ascii="Times New Roman" w:hAnsi="Times New Roman" w:eastAsia="仿宋_GB2312" w:cs="Times New Roman"/>
                <w:color w:val="000000"/>
                <w:kern w:val="0"/>
                <w:sz w:val="28"/>
                <w:szCs w:val="28"/>
                <w:u w:val="none"/>
              </w:rPr>
              <w:t>6端到端贯通能力</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加快完</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善神经</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元体系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持续推进物联感知终端部署，聚焦市政、能源、交通、环境、气象等领域，加快智能终端设备与城市基础设施的深度融合，加快实现地上、地下、空中、水域立体覆盖</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区生态环境局、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区建交委、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区城管执法局、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推进神经元（物联感知）平台建设，全域汇聚各类物联感知设备、视频监控设备，强化浦东新区各委办局、各街镇以及社会面终端设备的汇聚共享应用能力，全面提升城市运行神经末梢的感知能力</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提升政</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务云服</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务能级</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充分利用大数据、人工智能等技术，显著提升政务云集约化、规模化、绿色化水平。按需扩容升级政务云，逐步统一纳管教育、卫生等行业云，并推动浦东新区多源异构混合云的体系建设，不断丰富算力、算法，提升Paas服务能力</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both"/>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区教育局、</w:t>
            </w:r>
          </w:p>
          <w:p>
            <w:pPr>
              <w:widowControl/>
              <w:adjustRightInd w:val="0"/>
              <w:snapToGrid w:val="0"/>
              <w:jc w:val="both"/>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完善城市智能中枢功能，激活数字思维</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潜</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能</w:t>
            </w: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建设区</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块链赋</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能平台</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hint="eastAsia" w:ascii="Times New Roman" w:hAnsi="Times New Roman" w:eastAsia="仿宋_GB2312" w:cs="Times New Roman"/>
                <w:color w:val="000000"/>
                <w:kern w:val="0"/>
                <w:sz w:val="28"/>
                <w:szCs w:val="28"/>
                <w:u w:val="none"/>
                <w:lang w:eastAsia="zh-CN"/>
              </w:rPr>
              <w:t>实施政务区块链和数据上链会战，</w:t>
            </w:r>
            <w:r>
              <w:rPr>
                <w:rFonts w:ascii="Times New Roman" w:hAnsi="Times New Roman" w:eastAsia="仿宋_GB2312" w:cs="Times New Roman"/>
                <w:color w:val="000000"/>
                <w:kern w:val="0"/>
                <w:sz w:val="28"/>
                <w:szCs w:val="28"/>
                <w:u w:val="none"/>
              </w:rPr>
              <w:t>推进政务区块链</w:t>
            </w:r>
            <w:r>
              <w:rPr>
                <w:rFonts w:hint="eastAsia" w:ascii="Times New Roman" w:hAnsi="Times New Roman" w:eastAsia="仿宋_GB2312" w:cs="Times New Roman"/>
                <w:color w:val="000000"/>
                <w:kern w:val="0"/>
                <w:sz w:val="28"/>
                <w:szCs w:val="28"/>
                <w:u w:val="none"/>
                <w:lang w:eastAsia="zh-CN"/>
              </w:rPr>
              <w:t>和数据上链</w:t>
            </w:r>
            <w:r>
              <w:rPr>
                <w:rFonts w:ascii="Times New Roman" w:hAnsi="Times New Roman" w:eastAsia="仿宋_GB2312" w:cs="Times New Roman"/>
                <w:color w:val="000000"/>
                <w:kern w:val="0"/>
                <w:sz w:val="28"/>
                <w:szCs w:val="28"/>
                <w:u w:val="none"/>
              </w:rPr>
              <w:t>基础设施、政务区块链监管服务平台建设，为区块链在政务服务、社会治理、民生保障等领域的应用提供共性赋能</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建设智</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能算法</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服</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务</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平</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台</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聚焦算力、算法，建设一体化算力资源池，提供算力统一纳管和跨平台算力资源及算法集市，全面提升浦东新区算力、算法的科学规划和精细化、智能化管理调度水平</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87</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建设时</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空大数</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据赋能</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平</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台</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hint="eastAsia" w:ascii="Times New Roman" w:hAnsi="Times New Roman" w:eastAsia="仿宋_GB2312" w:cs="Times New Roman"/>
                <w:color w:val="000000"/>
                <w:kern w:val="0"/>
                <w:sz w:val="28"/>
                <w:szCs w:val="28"/>
                <w:u w:val="none"/>
                <w:lang w:eastAsia="zh-CN"/>
              </w:rPr>
              <w:t>组织开展“图网码”会战，</w:t>
            </w:r>
            <w:r>
              <w:rPr>
                <w:rFonts w:ascii="Times New Roman" w:hAnsi="Times New Roman" w:eastAsia="仿宋_GB2312" w:cs="Times New Roman"/>
                <w:color w:val="000000"/>
                <w:kern w:val="0"/>
                <w:sz w:val="28"/>
                <w:szCs w:val="28"/>
                <w:u w:val="none"/>
              </w:rPr>
              <w:t>打造新区统一时空</w:t>
            </w:r>
            <w:r>
              <w:rPr>
                <w:rFonts w:hint="eastAsia" w:ascii="Times New Roman" w:hAnsi="Times New Roman" w:eastAsia="仿宋_GB2312" w:cs="Times New Roman"/>
                <w:color w:val="000000"/>
                <w:kern w:val="0"/>
                <w:sz w:val="28"/>
                <w:szCs w:val="28"/>
                <w:u w:val="none"/>
                <w:lang w:eastAsia="zh-CN"/>
              </w:rPr>
              <w:t>底图</w:t>
            </w:r>
            <w:r>
              <w:rPr>
                <w:rFonts w:ascii="Times New Roman" w:hAnsi="Times New Roman" w:eastAsia="仿宋_GB2312" w:cs="Times New Roman"/>
                <w:color w:val="000000"/>
                <w:kern w:val="0"/>
                <w:sz w:val="28"/>
                <w:szCs w:val="28"/>
                <w:u w:val="none"/>
              </w:rPr>
              <w:t>，汇聚整合基础地理信息、业务专题、社会数据等多源数据，使各类时空数据按照统一的数字底</w:t>
            </w:r>
            <w:r>
              <w:rPr>
                <w:rFonts w:hint="eastAsia" w:ascii="Times New Roman" w:hAnsi="Times New Roman" w:eastAsia="仿宋_GB2312" w:cs="Times New Roman"/>
                <w:color w:val="000000"/>
                <w:kern w:val="0"/>
                <w:sz w:val="28"/>
                <w:szCs w:val="28"/>
                <w:u w:val="none"/>
                <w:lang w:eastAsia="zh-CN"/>
              </w:rPr>
              <w:t>图</w:t>
            </w:r>
            <w:r>
              <w:rPr>
                <w:rFonts w:ascii="Times New Roman" w:hAnsi="Times New Roman" w:eastAsia="仿宋_GB2312" w:cs="Times New Roman"/>
                <w:color w:val="000000"/>
                <w:kern w:val="0"/>
                <w:sz w:val="28"/>
                <w:szCs w:val="28"/>
                <w:u w:val="none"/>
              </w:rPr>
              <w:t>进行管理、查看、分析与共享应用。基于GIS、大数据、知识图谱等技术，强化海量时空数据精细化管理、时空化治理、智能化分析能力，以时空智能技术驱动治理数字化转型加速。基于“一张图”探索叠加BIM、物联网等数据，助推数字孪生城市建设</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区规划资源局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打造政</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务服务</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应</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用</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中</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台</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以业务支撑和应用支撑为抓手，建立完善身份认证、电子证照、电子印章、地理信息等支撑能力，打造面向各部门业务的开放性底层服务组件，为大量具有共性业务需求的政务系统和应用场景建设提供完整、强大的公共服务支撑能力</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区企业服务中心、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89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完善公共数据赋能体系，激活数字红利</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效</w:t>
            </w:r>
            <w:r>
              <w:rPr>
                <w:rFonts w:hint="eastAsia" w:ascii="Times New Roman" w:hAnsi="Times New Roman" w:eastAsia="仿宋_GB2312" w:cs="Times New Roman"/>
                <w:color w:val="000000"/>
                <w:kern w:val="0"/>
                <w:sz w:val="28"/>
                <w:szCs w:val="28"/>
                <w:u w:val="none"/>
                <w:lang w:eastAsia="zh-CN"/>
              </w:rPr>
              <w:t>　</w:t>
            </w:r>
            <w:r>
              <w:rPr>
                <w:rFonts w:ascii="Times New Roman" w:hAnsi="Times New Roman" w:eastAsia="仿宋_GB2312" w:cs="Times New Roman"/>
                <w:color w:val="000000"/>
                <w:kern w:val="0"/>
                <w:sz w:val="28"/>
                <w:szCs w:val="28"/>
                <w:u w:val="none"/>
              </w:rPr>
              <w:t>应</w:t>
            </w: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强化数据归集融合</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扩大数据归集范围，依托区大数据资源平台，探索开展社会数据“统采共用”和政企数据融合，加强各类业务数据、感知数据、共享对接数据、互联网数据、企业数据的采集汇聚和对接融合</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区规划资源局、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区发改委、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持续完善数据库，加强公共数据整合，不断深化完善人口、法人、自然资源和空间地理、电子证照、社会信用信息等公共基础数据库和专题数据库、主题数据库</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强化数据高效治理</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深化数据清洗加工，围绕多源异构数据存在的重复、错误、标识不一致等问题，强化多余重复数据的筛选清除、缺失数据的补充完整、错误数据的纠正删除等处理，提高数据质量</w:t>
            </w:r>
          </w:p>
        </w:tc>
        <w:tc>
          <w:tcPr>
            <w:tcW w:w="1027" w:type="pct"/>
            <w:vMerge w:val="restart"/>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深化数据运维管理，对汇聚的数据资源进行集中维护和管控，保持数据的完整性、一致性、准确性、时效性</w:t>
            </w:r>
          </w:p>
        </w:tc>
        <w:tc>
          <w:tcPr>
            <w:tcW w:w="1027" w:type="pct"/>
            <w:vMerge w:val="continue"/>
            <w:shd w:val="clear" w:color="auto" w:fill="auto"/>
            <w:vAlign w:val="center"/>
          </w:tcPr>
          <w:p>
            <w:pPr>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93</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完善数据管理规范，建设公共数据运营服务平台，完善数据分级分类、共享开放、动态更新等制度和管理办法，建立公共数据授权运营区级标准以及数据资源评估机制、数据异议核实及处理工作机制</w:t>
            </w:r>
          </w:p>
        </w:tc>
        <w:tc>
          <w:tcPr>
            <w:tcW w:w="1027" w:type="pct"/>
            <w:vMerge w:val="continue"/>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94</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强化数据共享开放</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推进数据资源“无障碍共享”，依托市区统筹的大数据资源平台体系，畅通市、区两级数据资源共享开发渠道，有效提升数据服务能力</w:t>
            </w:r>
          </w:p>
        </w:tc>
        <w:tc>
          <w:tcPr>
            <w:tcW w:w="1027" w:type="pct"/>
            <w:vMerge w:val="restar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95</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推进区级资源面向社会开放，以需求导向、分级分类、公平公开、安全可控、统一标准、便捷高效为原则，依托市大数据资源平台向社会开放公共数据</w:t>
            </w:r>
          </w:p>
        </w:tc>
        <w:tc>
          <w:tcPr>
            <w:tcW w:w="1027" w:type="pct"/>
            <w:vMerge w:val="continue"/>
            <w:shd w:val="clear" w:color="auto" w:fill="auto"/>
            <w:vAlign w:val="center"/>
          </w:tcPr>
          <w:p>
            <w:pPr>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96</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6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522"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建立数据快速开发利用功能，提升数据统筹利用、共享开发、融合应用等服务能力，鼓励自然人、法人和非法人组织对公共数据进行深度加工和增值使用</w:t>
            </w:r>
          </w:p>
        </w:tc>
        <w:tc>
          <w:tcPr>
            <w:tcW w:w="1027" w:type="pct"/>
            <w:vMerge w:val="continue"/>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97</w:t>
            </w:r>
          </w:p>
        </w:tc>
        <w:tc>
          <w:tcPr>
            <w:tcW w:w="310" w:type="pct"/>
            <w:vMerge w:val="restar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保</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障</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措</w:t>
            </w:r>
          </w:p>
          <w:p>
            <w:pPr>
              <w:widowControl/>
              <w:adjustRightInd w:val="0"/>
              <w:snapToGrid w:val="0"/>
              <w:jc w:val="center"/>
              <w:rPr>
                <w:rFonts w:ascii="Times New Roman" w:hAnsi="Times New Roman" w:eastAsia="仿宋_GB2312" w:cs="Times New Roman"/>
                <w:color w:val="000000"/>
                <w:kern w:val="0"/>
                <w:sz w:val="28"/>
                <w:szCs w:val="28"/>
                <w:u w:val="none"/>
              </w:rPr>
            </w:pP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施</w:t>
            </w:r>
          </w:p>
        </w:tc>
        <w:tc>
          <w:tcPr>
            <w:tcW w:w="1084" w:type="pct"/>
            <w:gridSpan w:val="2"/>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加强组织领导，</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有序统筹推进</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发挥浦东新区城市数字化转型工作领导小组作用，构建完善“横向到边、纵向到底”的工作机制，研究建立成员单位信息报送制度，建立健全“办公室主任+专项组组长”的机制，定期组织召开专题协调会议、专题研究会议等，统筹推进浦东新区城市数字化转型工作的开展。</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区城运中心、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区发改委、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98</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1084" w:type="pct"/>
            <w:gridSpan w:val="2"/>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探索政策法规，</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强化规范指引</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发挥浦东新区立法优势，建设大胆试、大胆闯、自主改相适应的法治保障体系，探索建设数据交易等领域的专项法规。聚焦数字经济、数字生活、数字治理、数字服务、数字基础以及资金、人才、场景建设运营等领域，建设完善与浦东新区城市数字化转型相适应的政策环境和行业标准体系，强化针对性政策供给和标准规范引领</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区其他相关职能部门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99</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1084" w:type="pct"/>
            <w:gridSpan w:val="2"/>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优化资金供给，</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实现精准支持</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强化浦东新区城市数字化转型专项资金统一归口管理，科学合理设置数字化转型绩效目标，优化数字化转型重大项目的预算管理机制，规范开展以效能和资金使用相结合的绩效跟踪和评价工作。统筹利用好各级各类财政专项，加大政府资金撬动市场力量，通过政府财政资金的功能导向作用，加大对重点任务的资金投入力度。扩展数字化转型产业基金，鼓励金融机构与企业合作创新更优质的科技金融产品和服务，支持企业参与城市数字化转型项目建设</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区财政局、</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100</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1084" w:type="pct"/>
            <w:gridSpan w:val="2"/>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激发共建活力，</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创新运营模式</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深化揭榜挂帅机制，通过项目征集、行业交流、案例遴选等方式，引导企业等市场主体持续建设典型性、代表性场景。创新应用数字化转型评价体系，加强企业等市场主体及市民体验评价，以评促改、以评促优。推动一体化数字运营中心建设，整合区政务云、数据、网络安全等分散的运营力量和运维队伍，强化信息化系统日常运营管理和服务。研究数字化转型投融资新机制，探索BOT、存量委托运营等新模式，在公共设施及公共服务等相关领域建立企业投资建设运营、政府审查监管调控的市场化机制，并进行试点运行</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101</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1084" w:type="pct"/>
            <w:gridSpan w:val="2"/>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完善数字安全，</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筑牢发展环境</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建设更具韧性的城市安全防护体系，聚焦数字经济、数字基础等领域，以网络信息安全态势感知平台为载体，增强网络安全运行监测和分析预警能力，强化信息风险监控、信息安全传递、信息及时反馈的事前、事中、事后全程监控管理。优化完善安全制度保障，落实数据分类分级保护、信息安全等级保护和个人信息保护制度，健全数据安全管理、安全风险评估、安全责任落实、安全应急处置等相关管理制度和管理机制</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区委网信办、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区大数据中心、</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区科经委、</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trPr>
        <w:tc>
          <w:tcPr>
            <w:tcW w:w="289" w:type="pct"/>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102</w:t>
            </w:r>
          </w:p>
        </w:tc>
        <w:tc>
          <w:tcPr>
            <w:tcW w:w="310" w:type="pct"/>
            <w:vMerge w:val="continue"/>
            <w:vAlign w:val="center"/>
          </w:tcPr>
          <w:p>
            <w:pPr>
              <w:widowControl/>
              <w:adjustRightInd w:val="0"/>
              <w:snapToGrid w:val="0"/>
              <w:jc w:val="left"/>
              <w:rPr>
                <w:rFonts w:ascii="Times New Roman" w:hAnsi="Times New Roman" w:eastAsia="仿宋_GB2312" w:cs="Times New Roman"/>
                <w:color w:val="000000"/>
                <w:kern w:val="0"/>
                <w:sz w:val="28"/>
                <w:szCs w:val="28"/>
                <w:u w:val="none"/>
              </w:rPr>
            </w:pPr>
          </w:p>
        </w:tc>
        <w:tc>
          <w:tcPr>
            <w:tcW w:w="1084" w:type="pct"/>
            <w:gridSpan w:val="2"/>
            <w:shd w:val="clear" w:color="auto" w:fill="auto"/>
            <w:vAlign w:val="center"/>
          </w:tcPr>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扩大人才队伍，</w:t>
            </w:r>
          </w:p>
          <w:p>
            <w:pPr>
              <w:widowControl/>
              <w:adjustRightInd w:val="0"/>
              <w:snapToGrid w:val="0"/>
              <w:jc w:val="center"/>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提升数字素养</w:t>
            </w:r>
          </w:p>
        </w:tc>
        <w:tc>
          <w:tcPr>
            <w:tcW w:w="228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加大数字化转型人才的引进培养，研究人才吸引政策，加大海外高层次人才引进力度，优化完善出入境、引进落户、生活配套等方面的人才扶持政策，推行“首席网络安全官”、“首席数字官”等制度，推广DCMM注册数据管理师（CDP）、首席数据官（CDO）等培训，吸引更多数字化转型人才入驻浦东。完善领导干部和基层公职人员数字素养培训机制，培养领导干部的数字化转型战略思维和数字化转型驾驭能力，提高基层公职人员的数字化转型实战操作能力。面向国资国企、专精特新等企业开展专题培训，助力企业数字化转型。加强全民数字化素养和技能培训，提升全社会数字素养能力</w:t>
            </w:r>
          </w:p>
        </w:tc>
        <w:tc>
          <w:tcPr>
            <w:tcW w:w="1027" w:type="pct"/>
            <w:shd w:val="clear" w:color="auto" w:fill="auto"/>
            <w:vAlign w:val="center"/>
          </w:tcPr>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区数字化办、</w:t>
            </w:r>
          </w:p>
          <w:p>
            <w:pPr>
              <w:widowControl/>
              <w:adjustRightInd w:val="0"/>
              <w:snapToGrid w:val="0"/>
              <w:jc w:val="left"/>
              <w:rPr>
                <w:rFonts w:ascii="Times New Roman" w:hAnsi="Times New Roman" w:eastAsia="仿宋_GB2312" w:cs="Times New Roman"/>
                <w:color w:val="000000"/>
                <w:kern w:val="0"/>
                <w:sz w:val="28"/>
                <w:szCs w:val="28"/>
                <w:u w:val="none"/>
              </w:rPr>
            </w:pPr>
            <w:r>
              <w:rPr>
                <w:rFonts w:ascii="Times New Roman" w:hAnsi="Times New Roman" w:eastAsia="仿宋_GB2312" w:cs="Times New Roman"/>
                <w:color w:val="000000"/>
                <w:kern w:val="0"/>
                <w:sz w:val="28"/>
                <w:szCs w:val="28"/>
                <w:u w:val="none"/>
              </w:rPr>
              <w:t>区人社局</w:t>
            </w:r>
          </w:p>
        </w:tc>
      </w:tr>
    </w:tbl>
    <w:p>
      <w:pPr>
        <w:tabs>
          <w:tab w:val="left" w:pos="8959"/>
        </w:tabs>
        <w:bidi w:val="0"/>
        <w:jc w:val="left"/>
        <w:rPr>
          <w:u w:val="none"/>
          <w:lang w:val="en-US" w:eastAsia="zh-CN"/>
        </w:rPr>
      </w:pPr>
    </w:p>
    <w:p>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TQ5ODZkZGI4NzQ4Y2I4NmMzYmY2N2QwYjMzNTYifQ=="/>
  </w:docVars>
  <w:rsids>
    <w:rsidRoot w:val="00000000"/>
    <w:rsid w:val="18A2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ind w:firstLine="1840"/>
    </w:pPr>
    <w:rPr>
      <w:rFonts w:ascii="Times New Roman" w:hAnsi="Times New Roman" w:eastAsia="等线" w:cs="Times New Roman"/>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2023-12-04T08:27:35Z</dcterms:created>
  <dc:creator>Administrator</dc:creator>
  <cp:lastModifiedBy>Como tu madre</cp:lastModifiedBy>
  <dcterms:modified xsi:type="dcterms:W3CDTF">2023-12-04T08:27:51Z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52381FB374324105BF0638239B3B57C9_12</vt:lpwstr>
  </property>
</Properties>
</file>