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勠</w:t>
      </w:r>
      <w:r>
        <w:rPr>
          <w:rFonts w:hint="eastAsia" w:ascii="方正小标宋简体" w:hAnsi="方正小标宋简体" w:eastAsia="方正小标宋简体" w:cs="方正小标宋简体"/>
          <w:sz w:val="44"/>
          <w:szCs w:val="44"/>
          <w:lang w:val="en-US" w:eastAsia="zh-CN"/>
        </w:rPr>
        <w:t>力同心  砥砺前行</w:t>
      </w:r>
    </w:p>
    <w:p>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共同谱写“七彩南码头”美好新篇章</w:t>
      </w:r>
    </w:p>
    <w:p>
      <w:pPr>
        <w:keepNext w:val="0"/>
        <w:keepLines w:val="0"/>
        <w:pageBreakBefore w:val="0"/>
        <w:widowControl w:val="0"/>
        <w:wordWrap/>
        <w:topLinePunct w:val="0"/>
        <w:bidi w:val="0"/>
        <w:adjustRightInd w:val="0"/>
        <w:snapToGrid w:val="0"/>
        <w:spacing w:line="560" w:lineRule="exact"/>
        <w:ind w:right="-420" w:righ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——在南码头路街道第三届社区代表大会第二次会议上的报告</w:t>
      </w:r>
    </w:p>
    <w:p>
      <w:pPr>
        <w:keepNext w:val="0"/>
        <w:keepLines w:val="0"/>
        <w:pageBreakBefore w:val="0"/>
        <w:widowControl w:val="0"/>
        <w:kinsoku/>
        <w:wordWrap/>
        <w:topLinePunct w:val="0"/>
        <w:autoSpaceDE/>
        <w:autoSpaceDN/>
        <w:bidi w:val="0"/>
        <w:adjustRightInd w:val="0"/>
        <w:snapToGrid w:val="0"/>
        <w:spacing w:line="560" w:lineRule="exact"/>
        <w:ind w:left="-420" w:leftChars="-200"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各位代表、同志们：</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现在，我代表南码头路街道办事处，向大会作工作报告，请各位代表予以审议。</w:t>
      </w:r>
    </w:p>
    <w:p>
      <w:pPr>
        <w:keepNext w:val="0"/>
        <w:keepLines w:val="0"/>
        <w:pageBreakBefore w:val="0"/>
        <w:widowControl w:val="0"/>
        <w:wordWrap/>
        <w:topLinePunct w:val="0"/>
        <w:bidi w:val="0"/>
        <w:adjustRightInd w:val="0"/>
        <w:snapToGrid w:val="0"/>
        <w:spacing w:line="560" w:lineRule="exact"/>
        <w:ind w:right="-420" w:rightChars="-200" w:firstLine="2880" w:firstLineChars="9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一、2019年工作回顾</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南码头路街道办事处以习近平新时代中国特色社会主义思想为指导，全面贯彻落实党的十九大和十九届二中、三中、四中全会精神，深入学习贯彻习近平总书记考察上海重要讲话精神，认真落实十一届市委历次全会和四届区委历次全会的部署要求，在街道党工委的坚强领导下，按照“补短板、提品质、争上游”的工作思路，围绕“聚焦九大品牌，实现九个持续提升”</w:t>
      </w:r>
      <w:r>
        <w:rPr>
          <w:rFonts w:hint="eastAsia" w:ascii="仿宋_GB2312" w:hAnsi="仿宋_GB2312" w:eastAsia="仿宋_GB2312" w:cs="仿宋_GB2312"/>
          <w:sz w:val="32"/>
          <w:szCs w:val="32"/>
          <w:vertAlign w:val="superscript"/>
          <w:lang w:val="en-US" w:eastAsia="zh-CN"/>
        </w:rPr>
        <w:t>1</w:t>
      </w:r>
      <w:r>
        <w:rPr>
          <w:rFonts w:hint="eastAsia" w:ascii="仿宋_GB2312" w:hAnsi="仿宋_GB2312" w:eastAsia="仿宋_GB2312" w:cs="仿宋_GB2312"/>
          <w:sz w:val="32"/>
          <w:szCs w:val="32"/>
          <w:lang w:val="en-US" w:eastAsia="zh-CN"/>
        </w:rPr>
        <w:t>的总体要求，统一思想、凝心聚力，在街道广大干部群众的努力下，总体完成了年初社代会确定的目标任务。</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一年来，我们主要做了以下六方面工作：</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（一）攻坚克难，社区管理水平持续提升</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1.“两攻坚”初见成效，市容环境、物业管理明显改善</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全力攻坚市容环境顽疾。</w:t>
      </w:r>
      <w:r>
        <w:rPr>
          <w:rFonts w:hint="eastAsia" w:ascii="仿宋_GB2312" w:hAnsi="仿宋_GB2312" w:eastAsia="仿宋_GB2312" w:cs="仿宋_GB2312"/>
          <w:sz w:val="32"/>
          <w:szCs w:val="32"/>
          <w:lang w:val="en-US" w:eastAsia="zh-CN"/>
        </w:rPr>
        <w:t>做好重点区域和人群密集地段的市容管理工作，加强“顽症”点位的日常固守和突击整治，全年共发放告知书</w:t>
      </w:r>
      <w:r>
        <w:rPr>
          <w:rFonts w:hint="eastAsia" w:ascii="Times New Roman" w:hAnsi="Times New Roman" w:eastAsia="幼圆" w:cs="Times New Roman"/>
          <w:sz w:val="32"/>
          <w:szCs w:val="32"/>
          <w:lang w:val="en-US" w:eastAsia="zh-CN"/>
        </w:rPr>
        <w:t>5000</w:t>
      </w:r>
      <w:r>
        <w:rPr>
          <w:rFonts w:hint="eastAsia" w:ascii="仿宋_GB2312" w:hAnsi="仿宋_GB2312" w:eastAsia="仿宋_GB2312" w:cs="仿宋_GB2312"/>
          <w:sz w:val="32"/>
          <w:szCs w:val="32"/>
          <w:lang w:val="en-US" w:eastAsia="zh-CN"/>
        </w:rPr>
        <w:t>余份，累计取缔流动摊点</w:t>
      </w:r>
      <w:r>
        <w:rPr>
          <w:rFonts w:hint="eastAsia" w:ascii="幼圆" w:hAnsi="幼圆" w:eastAsia="幼圆" w:cs="幼圆"/>
          <w:sz w:val="32"/>
          <w:szCs w:val="32"/>
          <w:lang w:val="en-US" w:eastAsia="zh-CN"/>
        </w:rPr>
        <w:t>151</w:t>
      </w:r>
      <w:r>
        <w:rPr>
          <w:rFonts w:hint="eastAsia" w:ascii="仿宋_GB2312" w:hAnsi="仿宋_GB2312" w:eastAsia="仿宋_GB2312" w:cs="仿宋_GB2312"/>
          <w:sz w:val="32"/>
          <w:szCs w:val="32"/>
          <w:lang w:val="en-US" w:eastAsia="zh-CN"/>
        </w:rPr>
        <w:t>处，整治街面五乱</w:t>
      </w:r>
      <w:r>
        <w:rPr>
          <w:rFonts w:hint="eastAsia" w:ascii="幼圆" w:hAnsi="幼圆" w:eastAsia="幼圆" w:cs="幼圆"/>
          <w:sz w:val="32"/>
          <w:szCs w:val="32"/>
          <w:lang w:val="en-US" w:eastAsia="zh-CN"/>
        </w:rPr>
        <w:t>19.15</w:t>
      </w:r>
      <w:r>
        <w:rPr>
          <w:rFonts w:hint="eastAsia" w:ascii="仿宋_GB2312" w:hAnsi="仿宋_GB2312" w:eastAsia="仿宋_GB2312" w:cs="仿宋_GB2312"/>
          <w:sz w:val="32"/>
          <w:szCs w:val="32"/>
          <w:lang w:val="en-US" w:eastAsia="zh-CN"/>
        </w:rPr>
        <w:t>万余处，清理乱堆乱放</w:t>
      </w:r>
      <w:r>
        <w:rPr>
          <w:rFonts w:hint="eastAsia" w:ascii="幼圆" w:hAnsi="幼圆" w:eastAsia="幼圆" w:cs="幼圆"/>
          <w:sz w:val="32"/>
          <w:szCs w:val="32"/>
          <w:lang w:val="en-US" w:eastAsia="zh-CN"/>
        </w:rPr>
        <w:t>20520</w:t>
      </w:r>
      <w:r>
        <w:rPr>
          <w:rFonts w:hint="eastAsia" w:ascii="仿宋_GB2312" w:hAnsi="仿宋_GB2312" w:eastAsia="仿宋_GB2312" w:cs="仿宋_GB2312"/>
          <w:sz w:val="32"/>
          <w:szCs w:val="32"/>
          <w:lang w:val="en-US" w:eastAsia="zh-CN"/>
        </w:rPr>
        <w:t>处。对道路、绿地、景观灯光进行全覆盖巡检，强化绿地保洁、植物修剪、有害生物防治，在节假日及重大活动期间，及时增加作业频次，保持良好的绿化景观面貌。建立健全城运分中心、城管中队和辅助力量的管执联动，做实市容管理联席会议机制，</w:t>
      </w:r>
      <w:r>
        <w:rPr>
          <w:rFonts w:hint="default" w:ascii="仿宋_GB2312" w:hAnsi="仿宋_GB2312" w:eastAsia="仿宋_GB2312" w:cs="仿宋_GB2312"/>
          <w:sz w:val="32"/>
          <w:szCs w:val="32"/>
          <w:lang w:val="en-US" w:eastAsia="zh-CN"/>
        </w:rPr>
        <w:t>确立重大问题、热点事件、疑难案件的触发</w:t>
      </w:r>
      <w:r>
        <w:rPr>
          <w:rFonts w:hint="eastAsia" w:ascii="仿宋_GB2312" w:hAnsi="仿宋_GB2312" w:eastAsia="仿宋_GB2312" w:cs="仿宋_GB2312"/>
          <w:sz w:val="32"/>
          <w:szCs w:val="32"/>
          <w:lang w:val="en-US" w:eastAsia="zh-CN"/>
        </w:rPr>
        <w:t>、办理</w:t>
      </w:r>
      <w:r>
        <w:rPr>
          <w:rFonts w:hint="default" w:ascii="仿宋_GB2312" w:hAnsi="仿宋_GB2312" w:eastAsia="仿宋_GB2312" w:cs="仿宋_GB2312"/>
          <w:sz w:val="32"/>
          <w:szCs w:val="32"/>
          <w:lang w:val="en-US" w:eastAsia="zh-CN"/>
        </w:rPr>
        <w:t>机制，有效分流工作任务，提高</w:t>
      </w:r>
      <w:r>
        <w:rPr>
          <w:rFonts w:hint="eastAsia" w:ascii="仿宋_GB2312" w:hAnsi="仿宋_GB2312" w:eastAsia="仿宋_GB2312" w:cs="仿宋_GB2312"/>
          <w:sz w:val="32"/>
          <w:szCs w:val="32"/>
          <w:lang w:val="en-US" w:eastAsia="zh-CN"/>
        </w:rPr>
        <w:t>处置</w:t>
      </w:r>
      <w:r>
        <w:rPr>
          <w:rFonts w:hint="default" w:ascii="仿宋_GB2312" w:hAnsi="仿宋_GB2312" w:eastAsia="仿宋_GB2312" w:cs="仿宋_GB2312"/>
          <w:sz w:val="32"/>
          <w:szCs w:val="32"/>
          <w:lang w:val="en-US" w:eastAsia="zh-CN"/>
        </w:rPr>
        <w:t>效能。</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全力攻坚物业管理难题。</w:t>
      </w:r>
      <w:r>
        <w:rPr>
          <w:rFonts w:hint="eastAsia" w:ascii="仿宋_GB2312" w:hAnsi="仿宋_GB2312" w:eastAsia="仿宋_GB2312" w:cs="仿宋_GB2312"/>
          <w:sz w:val="32"/>
          <w:szCs w:val="32"/>
          <w:lang w:val="en-US" w:eastAsia="zh-CN"/>
        </w:rPr>
        <w:t>在爱嘉苑、龙阳花苑2个小区试点推行物业服务价格评估及物业服务费调整工作，引进第三方咨询公司完成东方佳苑、东方名筑、临沂六村和红莲小区的物业服务成本评估，推动形成“质价相符、按质论价”的物业服务价格机制。新增临沂五村专业化保安服务，扩展临沂六村保洁、绿化专业化服务。严格按照老小区物业服务标准，结合新区物业实效检查、第三方满意率测评，街道市容环境测评和垃圾分类实效测评情况，核定小区考核得分及补贴资金，奖优惩劣。做好36个零星小区和5个动迁商品房小区的托底补贴工作，对自行管理及托管小区的屋顶漏水、外墙渗水、水管损坏等急修项目实行应急维修托底保障。</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2.“两创建”基本完成，市“无违建”先进街镇创建成功，市“园林街镇”迎检冲刺</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全力创建上海市“无违建”先进街镇。</w:t>
      </w:r>
      <w:r>
        <w:rPr>
          <w:rFonts w:hint="eastAsia" w:ascii="仿宋_GB2312" w:hAnsi="仿宋_GB2312" w:eastAsia="仿宋_GB2312" w:cs="仿宋_GB2312"/>
          <w:sz w:val="32"/>
          <w:szCs w:val="32"/>
          <w:lang w:val="en-US" w:eastAsia="zh-CN"/>
        </w:rPr>
        <w:t>全年累计拆除存量违法建筑点位</w:t>
      </w:r>
      <w:r>
        <w:rPr>
          <w:rFonts w:hint="eastAsia" w:ascii="幼圆" w:hAnsi="幼圆" w:eastAsia="幼圆" w:cs="幼圆"/>
          <w:sz w:val="32"/>
          <w:szCs w:val="32"/>
          <w:lang w:val="en-US" w:eastAsia="zh-CN"/>
        </w:rPr>
        <w:t>100</w:t>
      </w:r>
      <w:r>
        <w:rPr>
          <w:rFonts w:hint="eastAsia" w:ascii="仿宋_GB2312" w:hAnsi="仿宋_GB2312" w:eastAsia="仿宋_GB2312" w:cs="仿宋_GB2312"/>
          <w:sz w:val="32"/>
          <w:szCs w:val="32"/>
          <w:lang w:val="en-US" w:eastAsia="zh-CN"/>
        </w:rPr>
        <w:t>余处，面积</w:t>
      </w:r>
      <w:r>
        <w:rPr>
          <w:rFonts w:hint="eastAsia" w:ascii="幼圆" w:hAnsi="幼圆" w:eastAsia="幼圆" w:cs="幼圆"/>
          <w:sz w:val="32"/>
          <w:szCs w:val="32"/>
          <w:lang w:val="en-US" w:eastAsia="zh-CN"/>
        </w:rPr>
        <w:t>18128</w:t>
      </w:r>
      <w:r>
        <w:rPr>
          <w:rFonts w:hint="eastAsia" w:ascii="仿宋_GB2312" w:hAnsi="仿宋_GB2312" w:eastAsia="仿宋_GB2312" w:cs="仿宋_GB2312"/>
          <w:sz w:val="32"/>
          <w:szCs w:val="32"/>
          <w:lang w:val="en-US" w:eastAsia="zh-CN"/>
        </w:rPr>
        <w:t>平方米，超额完成新区下达任务量。瞄准攻坚“硬骨头”，坚持依法整治、综合施策，先后拆除了杨高南路汽修厂、东明路白莲泾桥和南码头白莲泾桥墩下违建、世博工地建筑宿舍房屋等情况复杂、难度大的整治点位。强化日常巡查发现、物业报告管控措施，优化投诉举报处置流程，建立拆后管控机制和追责问责机制。2019年10月荣获市“无违建”创建先进街镇称号。</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全力创建上海市“园林街镇”。</w:t>
      </w:r>
      <w:r>
        <w:rPr>
          <w:rFonts w:hint="eastAsia" w:ascii="仿宋_GB2312" w:hAnsi="仿宋_GB2312" w:eastAsia="仿宋_GB2312" w:cs="仿宋_GB2312"/>
          <w:sz w:val="32"/>
          <w:szCs w:val="32"/>
          <w:lang w:val="en-US" w:eastAsia="zh-CN"/>
        </w:rPr>
        <w:t>多措并举进行“增绿提绿”微更新，构筑起以社区公园、口袋公园、绿化街区为主的“家门口”绿地空间新格局，打造社区公园500米覆盖圈，口袋公园250米覆盖圈，让居民步行5分钟可达一处公园绿地。打造侧有绿墙、屋顶成园的立体绿化，推进机关大楼屋顶、世博大道沿线、东方路沿线立体绿化建设。自治共治引领绿色环保生活态度，围绕“我为码头添抹绿”，各居民区全年开展群绿活动</w:t>
      </w:r>
      <w:r>
        <w:rPr>
          <w:rFonts w:hint="eastAsia" w:ascii="幼圆" w:hAnsi="幼圆" w:eastAsia="幼圆" w:cs="幼圆"/>
          <w:sz w:val="32"/>
          <w:szCs w:val="32"/>
          <w:lang w:val="en-US" w:eastAsia="zh-CN"/>
        </w:rPr>
        <w:t>258</w:t>
      </w:r>
      <w:r>
        <w:rPr>
          <w:rFonts w:hint="eastAsia" w:ascii="仿宋_GB2312" w:hAnsi="仿宋_GB2312" w:eastAsia="仿宋_GB2312" w:cs="仿宋_GB2312"/>
          <w:sz w:val="32"/>
          <w:szCs w:val="32"/>
          <w:lang w:val="en-US" w:eastAsia="zh-CN"/>
        </w:rPr>
        <w:t>场，形成“花开港机，乐活生活”、临沂六村“村暖花开”等一批品牌项目。</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3.“两提升”落到实处，“智慧社区”“品质社区”不断完善</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全力提升“智慧社区”管理水平。</w:t>
      </w:r>
      <w:r>
        <w:rPr>
          <w:rFonts w:hint="eastAsia" w:ascii="仿宋_GB2312" w:hAnsi="仿宋_GB2312" w:eastAsia="仿宋_GB2312" w:cs="仿宋_GB2312"/>
          <w:sz w:val="32"/>
          <w:szCs w:val="32"/>
          <w:lang w:val="en-US" w:eastAsia="zh-CN"/>
        </w:rPr>
        <w:t>优化平台日常案件受理、派单、处置流程，定期分析工单</w:t>
      </w:r>
      <w:r>
        <w:rPr>
          <w:rFonts w:hint="default"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lang w:val="en-US" w:eastAsia="zh-CN"/>
        </w:rPr>
        <w:t>问题以及新区督查</w:t>
      </w:r>
      <w:r>
        <w:rPr>
          <w:rFonts w:hint="default" w:ascii="仿宋_GB2312" w:hAnsi="仿宋_GB2312" w:eastAsia="仿宋_GB2312" w:cs="仿宋_GB2312"/>
          <w:sz w:val="32"/>
          <w:szCs w:val="32"/>
          <w:lang w:val="en-US" w:eastAsia="zh-CN"/>
        </w:rPr>
        <w:t>动态</w:t>
      </w:r>
      <w:r>
        <w:rPr>
          <w:rFonts w:hint="eastAsia" w:ascii="仿宋_GB2312" w:hAnsi="仿宋_GB2312" w:eastAsia="仿宋_GB2312" w:cs="仿宋_GB2312"/>
          <w:sz w:val="32"/>
          <w:szCs w:val="32"/>
          <w:lang w:val="en-US" w:eastAsia="zh-CN"/>
        </w:rPr>
        <w:t>，解决处置疑难杂症。全年共受理工单</w:t>
      </w:r>
      <w:r>
        <w:rPr>
          <w:rFonts w:hint="eastAsia" w:ascii="幼圆" w:hAnsi="幼圆" w:eastAsia="幼圆" w:cs="幼圆"/>
          <w:sz w:val="32"/>
          <w:szCs w:val="32"/>
          <w:lang w:val="en-US" w:eastAsia="zh-CN"/>
        </w:rPr>
        <w:t>41925</w:t>
      </w:r>
      <w:r>
        <w:rPr>
          <w:rFonts w:hint="eastAsia" w:ascii="仿宋_GB2312" w:hAnsi="仿宋_GB2312" w:eastAsia="仿宋_GB2312" w:cs="仿宋_GB2312"/>
          <w:sz w:val="32"/>
          <w:szCs w:val="32"/>
          <w:lang w:val="en-US" w:eastAsia="zh-CN"/>
        </w:rPr>
        <w:t>件，</w:t>
      </w:r>
      <w:r>
        <w:rPr>
          <w:rFonts w:hint="default" w:ascii="仿宋_GB2312" w:hAnsi="仿宋_GB2312" w:eastAsia="仿宋_GB2312" w:cs="仿宋_GB2312"/>
          <w:sz w:val="32"/>
          <w:szCs w:val="32"/>
          <w:lang w:val="en-US" w:eastAsia="zh-CN"/>
        </w:rPr>
        <w:t>较去年同期下降</w:t>
      </w:r>
      <w:r>
        <w:rPr>
          <w:rFonts w:hint="eastAsia" w:ascii="幼圆" w:hAnsi="幼圆" w:eastAsia="幼圆" w:cs="幼圆"/>
          <w:sz w:val="32"/>
          <w:szCs w:val="32"/>
          <w:lang w:val="en-US" w:eastAsia="zh-CN"/>
        </w:rPr>
        <w:t>19.71</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，结案率达</w:t>
      </w:r>
      <w:r>
        <w:rPr>
          <w:rFonts w:hint="eastAsia" w:ascii="幼圆" w:hAnsi="幼圆" w:eastAsia="幼圆" w:cs="幼圆"/>
          <w:sz w:val="32"/>
          <w:szCs w:val="32"/>
          <w:lang w:val="en-US" w:eastAsia="zh-CN"/>
        </w:rPr>
        <w:t>99.44</w:t>
      </w:r>
      <w:r>
        <w:rPr>
          <w:rFonts w:hint="eastAsia" w:ascii="仿宋_GB2312" w:hAnsi="仿宋_GB2312" w:eastAsia="仿宋_GB2312" w:cs="仿宋_GB2312"/>
          <w:sz w:val="32"/>
          <w:szCs w:val="32"/>
          <w:lang w:val="en-US" w:eastAsia="zh-CN"/>
        </w:rPr>
        <w:t>%，及时率达</w:t>
      </w:r>
      <w:r>
        <w:rPr>
          <w:rFonts w:hint="eastAsia" w:ascii="幼圆" w:hAnsi="幼圆" w:eastAsia="幼圆" w:cs="幼圆"/>
          <w:sz w:val="32"/>
          <w:szCs w:val="32"/>
          <w:lang w:val="en-US" w:eastAsia="zh-CN"/>
        </w:rPr>
        <w:t>98.25</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加强街道城市运行综合管理联席指挥</w:t>
      </w:r>
      <w:r>
        <w:rPr>
          <w:rFonts w:hint="eastAsia" w:ascii="仿宋_GB2312" w:hAnsi="仿宋_GB2312" w:eastAsia="仿宋_GB2312" w:cs="仿宋_GB2312"/>
          <w:sz w:val="32"/>
          <w:szCs w:val="32"/>
          <w:lang w:val="en-US" w:eastAsia="zh-CN"/>
        </w:rPr>
        <w:t>机制，推动行政党组与街道城运工作的有机衔接，促进条块对接联动。实行组带业务管理模式，将责任落实到人。建立健全</w:t>
      </w:r>
      <w:r>
        <w:rPr>
          <w:rFonts w:hint="default" w:ascii="仿宋_GB2312" w:hAnsi="仿宋_GB2312" w:eastAsia="仿宋_GB2312" w:cs="仿宋_GB2312"/>
          <w:sz w:val="32"/>
          <w:szCs w:val="32"/>
          <w:lang w:val="en-US" w:eastAsia="zh-CN"/>
        </w:rPr>
        <w:t>网格督查</w:t>
      </w:r>
      <w:r>
        <w:rPr>
          <w:rFonts w:hint="eastAsia" w:ascii="仿宋_GB2312" w:hAnsi="仿宋_GB2312" w:eastAsia="仿宋_GB2312" w:cs="仿宋_GB2312"/>
          <w:sz w:val="32"/>
          <w:szCs w:val="32"/>
          <w:lang w:val="en-US" w:eastAsia="zh-CN"/>
        </w:rPr>
        <w:t>激励机制，提高</w:t>
      </w:r>
      <w:r>
        <w:rPr>
          <w:rFonts w:hint="default" w:ascii="仿宋_GB2312" w:hAnsi="仿宋_GB2312" w:eastAsia="仿宋_GB2312" w:cs="仿宋_GB2312"/>
          <w:sz w:val="32"/>
          <w:szCs w:val="32"/>
          <w:lang w:val="en-US" w:eastAsia="zh-CN"/>
        </w:rPr>
        <w:t>先行</w:t>
      </w:r>
      <w:r>
        <w:rPr>
          <w:rFonts w:hint="eastAsia" w:ascii="仿宋_GB2312" w:hAnsi="仿宋_GB2312" w:eastAsia="仿宋_GB2312" w:cs="仿宋_GB2312"/>
          <w:sz w:val="32"/>
          <w:szCs w:val="32"/>
          <w:lang w:val="en-US" w:eastAsia="zh-CN"/>
        </w:rPr>
        <w:t>发现率。优化告警管理</w:t>
      </w:r>
      <w:r>
        <w:rPr>
          <w:rFonts w:hint="default" w:ascii="仿宋_GB2312" w:hAnsi="仿宋_GB2312" w:eastAsia="仿宋_GB2312" w:cs="仿宋_GB2312"/>
          <w:sz w:val="32"/>
          <w:szCs w:val="32"/>
          <w:lang w:val="en-US" w:eastAsia="zh-CN"/>
        </w:rPr>
        <w:t>数字模型</w:t>
      </w:r>
      <w:r>
        <w:rPr>
          <w:rFonts w:hint="eastAsia" w:ascii="仿宋_GB2312" w:hAnsi="仿宋_GB2312" w:eastAsia="仿宋_GB2312" w:cs="仿宋_GB2312"/>
          <w:sz w:val="32"/>
          <w:szCs w:val="32"/>
          <w:lang w:val="en-US" w:eastAsia="zh-CN"/>
        </w:rPr>
        <w:t>，探索开发</w:t>
      </w:r>
      <w:r>
        <w:rPr>
          <w:rFonts w:hint="default" w:ascii="仿宋_GB2312" w:hAnsi="仿宋_GB2312" w:eastAsia="仿宋_GB2312" w:cs="仿宋_GB2312"/>
          <w:sz w:val="32"/>
          <w:szCs w:val="32"/>
          <w:lang w:val="en-US" w:eastAsia="zh-CN"/>
        </w:rPr>
        <w:t>广场舞噪声管控、垃圾分类、河道管理、地下空间等</w:t>
      </w:r>
      <w:r>
        <w:rPr>
          <w:rFonts w:hint="eastAsia" w:ascii="仿宋_GB2312" w:hAnsi="仿宋_GB2312" w:eastAsia="仿宋_GB2312" w:cs="仿宋_GB2312"/>
          <w:sz w:val="32"/>
          <w:szCs w:val="32"/>
          <w:lang w:val="en-US" w:eastAsia="zh-CN"/>
        </w:rPr>
        <w:t>管理新模块。</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全力提升“品质社区”居住环境。</w:t>
      </w:r>
      <w:r>
        <w:rPr>
          <w:rFonts w:hint="eastAsia" w:ascii="仿宋_GB2312" w:hAnsi="仿宋_GB2312" w:eastAsia="仿宋_GB2312" w:cs="仿宋_GB2312"/>
          <w:sz w:val="32"/>
          <w:szCs w:val="32"/>
          <w:lang w:val="en-US" w:eastAsia="zh-CN"/>
        </w:rPr>
        <w:t>成功创建上海市生活垃圾分类示范街镇。完成定时定点垃圾箱房改建</w:t>
      </w:r>
      <w:r>
        <w:rPr>
          <w:rFonts w:hint="eastAsia" w:ascii="幼圆" w:hAnsi="幼圆" w:eastAsia="幼圆" w:cs="幼圆"/>
          <w:sz w:val="32"/>
          <w:szCs w:val="32"/>
          <w:lang w:val="en-US" w:eastAsia="zh-CN"/>
        </w:rPr>
        <w:t>135</w:t>
      </w:r>
      <w:r>
        <w:rPr>
          <w:rFonts w:hint="eastAsia" w:ascii="仿宋_GB2312" w:hAnsi="仿宋_GB2312" w:eastAsia="仿宋_GB2312" w:cs="仿宋_GB2312"/>
          <w:sz w:val="32"/>
          <w:szCs w:val="32"/>
          <w:lang w:val="en-US" w:eastAsia="zh-CN"/>
        </w:rPr>
        <w:t>处；建成两网融合</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中转站</w:t>
      </w:r>
      <w:r>
        <w:rPr>
          <w:rFonts w:hint="eastAsia" w:ascii="幼圆" w:hAnsi="幼圆" w:eastAsia="幼圆" w:cs="幼圆"/>
          <w:sz w:val="32"/>
          <w:szCs w:val="32"/>
          <w:lang w:val="en-US" w:eastAsia="zh-CN"/>
        </w:rPr>
        <w:t>1</w:t>
      </w:r>
      <w:r>
        <w:rPr>
          <w:rFonts w:hint="eastAsia" w:ascii="仿宋_GB2312" w:hAnsi="仿宋_GB2312" w:eastAsia="仿宋_GB2312" w:cs="仿宋_GB2312"/>
          <w:sz w:val="32"/>
          <w:szCs w:val="32"/>
          <w:lang w:val="en-US" w:eastAsia="zh-CN"/>
        </w:rPr>
        <w:t>个，两网融合点位</w:t>
      </w:r>
      <w:r>
        <w:rPr>
          <w:rFonts w:hint="eastAsia" w:ascii="幼圆" w:hAnsi="幼圆" w:eastAsia="幼圆" w:cs="幼圆"/>
          <w:sz w:val="32"/>
          <w:szCs w:val="32"/>
          <w:lang w:val="en-US" w:eastAsia="zh-CN"/>
        </w:rPr>
        <w:t>108</w:t>
      </w:r>
      <w:r>
        <w:rPr>
          <w:rFonts w:hint="eastAsia" w:ascii="仿宋_GB2312" w:hAnsi="仿宋_GB2312" w:eastAsia="仿宋_GB2312" w:cs="仿宋_GB2312"/>
          <w:sz w:val="32"/>
          <w:szCs w:val="32"/>
          <w:lang w:val="en-US" w:eastAsia="zh-CN"/>
        </w:rPr>
        <w:t>个。实现街道27个居委87个居住小区</w:t>
      </w:r>
      <w:r>
        <w:rPr>
          <w:rFonts w:hint="eastAsia" w:ascii="幼圆" w:hAnsi="幼圆" w:eastAsia="幼圆" w:cs="幼圆"/>
          <w:sz w:val="32"/>
          <w:szCs w:val="32"/>
          <w:lang w:val="en-US" w:eastAsia="zh-CN"/>
        </w:rPr>
        <w:t>42000</w:t>
      </w:r>
      <w:r>
        <w:rPr>
          <w:rFonts w:hint="eastAsia" w:ascii="仿宋_GB2312" w:hAnsi="仿宋_GB2312" w:eastAsia="仿宋_GB2312" w:cs="仿宋_GB2312"/>
          <w:sz w:val="32"/>
          <w:szCs w:val="32"/>
          <w:lang w:val="en-US" w:eastAsia="zh-CN"/>
        </w:rPr>
        <w:t>余户居民，</w:t>
      </w:r>
      <w:r>
        <w:rPr>
          <w:rFonts w:hint="eastAsia" w:ascii="幼圆" w:hAnsi="幼圆" w:eastAsia="幼圆" w:cs="幼圆"/>
          <w:sz w:val="32"/>
          <w:szCs w:val="32"/>
          <w:lang w:val="en-US" w:eastAsia="zh-CN"/>
        </w:rPr>
        <w:t>123</w:t>
      </w:r>
      <w:r>
        <w:rPr>
          <w:rFonts w:hint="eastAsia" w:ascii="仿宋_GB2312" w:hAnsi="仿宋_GB2312" w:eastAsia="仿宋_GB2312" w:cs="仿宋_GB2312"/>
          <w:sz w:val="32"/>
          <w:szCs w:val="32"/>
          <w:lang w:val="en-US" w:eastAsia="zh-CN"/>
        </w:rPr>
        <w:t>家机关、企事业单位，辖区所有公共场所生活垃圾分类减量全覆盖，分类实效全达标。全力推进老小区硬件改造，完成银河、临沂八村一综合整新项目，启动西三多层、塘南小区改造项目；完成红莲小区4栋高层住宅消防设施改造；推进东三街大楼、汇众公寓等6个小区14台老旧电梯改造更新；成功试点铭城园电梯加装；完成六里新村、教师大楼等25个住宅小区雨污混接改造工程；做好健身苑点设备维护更新及保险签订；完成港机新村18-33号楼道老化电气线路改造。</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（二）惠民为本，民生服务布局持续优化</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养老一体化平台进一步完善。</w:t>
      </w:r>
      <w:r>
        <w:rPr>
          <w:rFonts w:hint="eastAsia" w:ascii="仿宋_GB2312" w:hAnsi="仿宋_GB2312" w:eastAsia="仿宋_GB2312" w:cs="仿宋_GB2312"/>
          <w:sz w:val="32"/>
          <w:szCs w:val="32"/>
          <w:lang w:val="en-US" w:eastAsia="zh-CN"/>
        </w:rPr>
        <w:t>推进“养老便利店”建设，充分利用新区下沉资源、挖掘街道自有资源，构建“1+4+N”</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、“固定+流动”的老年助餐格局；长者照护之家正式开业营运；新增</w:t>
      </w:r>
      <w:r>
        <w:rPr>
          <w:rFonts w:hint="eastAsia" w:ascii="幼圆" w:hAnsi="幼圆" w:eastAsia="幼圆" w:cs="幼圆"/>
          <w:sz w:val="32"/>
          <w:szCs w:val="32"/>
          <w:lang w:val="en-US" w:eastAsia="zh-CN"/>
        </w:rPr>
        <w:t>3</w:t>
      </w:r>
      <w:r>
        <w:rPr>
          <w:rFonts w:hint="eastAsia" w:ascii="仿宋_GB2312" w:hAnsi="仿宋_GB2312" w:eastAsia="仿宋_GB2312" w:cs="仿宋_GB2312"/>
          <w:sz w:val="32"/>
          <w:szCs w:val="32"/>
          <w:lang w:val="en-US" w:eastAsia="zh-CN"/>
        </w:rPr>
        <w:t>个睦邻点，累计布点</w:t>
      </w:r>
      <w:r>
        <w:rPr>
          <w:rFonts w:hint="eastAsia" w:ascii="幼圆" w:hAnsi="幼圆" w:eastAsia="幼圆" w:cs="幼圆"/>
          <w:sz w:val="32"/>
          <w:szCs w:val="32"/>
          <w:lang w:val="en-US" w:eastAsia="zh-CN"/>
        </w:rPr>
        <w:t>46</w:t>
      </w:r>
      <w:r>
        <w:rPr>
          <w:rFonts w:hint="eastAsia" w:ascii="仿宋_GB2312" w:hAnsi="仿宋_GB2312" w:eastAsia="仿宋_GB2312" w:cs="仿宋_GB2312"/>
          <w:sz w:val="32"/>
          <w:szCs w:val="32"/>
          <w:lang w:val="en-US" w:eastAsia="zh-CN"/>
        </w:rPr>
        <w:t>个；养老顾问岗、老年活动室和微型助餐功能实现全覆盖。长护险年内咨询数</w:t>
      </w:r>
      <w:r>
        <w:rPr>
          <w:rFonts w:hint="eastAsia" w:ascii="幼圆" w:hAnsi="幼圆" w:eastAsia="幼圆" w:cs="幼圆"/>
          <w:sz w:val="32"/>
          <w:szCs w:val="32"/>
          <w:lang w:val="en-US" w:eastAsia="zh-CN"/>
        </w:rPr>
        <w:t>3200</w:t>
      </w:r>
      <w:r>
        <w:rPr>
          <w:rFonts w:hint="eastAsia" w:ascii="仿宋_GB2312" w:hAnsi="仿宋_GB2312" w:eastAsia="仿宋_GB2312" w:cs="仿宋_GB2312"/>
          <w:sz w:val="32"/>
          <w:szCs w:val="32"/>
          <w:lang w:val="en-US" w:eastAsia="zh-CN"/>
        </w:rPr>
        <w:t>人次，申请人数</w:t>
      </w:r>
      <w:r>
        <w:rPr>
          <w:rFonts w:hint="eastAsia" w:ascii="幼圆" w:hAnsi="幼圆" w:eastAsia="幼圆" w:cs="幼圆"/>
          <w:sz w:val="32"/>
          <w:szCs w:val="32"/>
          <w:lang w:val="en-US" w:eastAsia="zh-CN"/>
        </w:rPr>
        <w:t>3111</w:t>
      </w:r>
      <w:r>
        <w:rPr>
          <w:rFonts w:hint="eastAsia" w:ascii="仿宋_GB2312" w:hAnsi="仿宋_GB2312" w:eastAsia="仿宋_GB2312" w:cs="仿宋_GB2312"/>
          <w:sz w:val="32"/>
          <w:szCs w:val="32"/>
          <w:lang w:val="en-US" w:eastAsia="zh-CN"/>
        </w:rPr>
        <w:t>人；享受居家养老补贴共</w:t>
      </w:r>
      <w:r>
        <w:rPr>
          <w:rFonts w:hint="eastAsia" w:ascii="幼圆" w:hAnsi="幼圆" w:eastAsia="幼圆" w:cs="幼圆"/>
          <w:sz w:val="32"/>
          <w:szCs w:val="32"/>
          <w:lang w:val="en-US" w:eastAsia="zh-CN"/>
        </w:rPr>
        <w:t>88</w:t>
      </w:r>
      <w:r>
        <w:rPr>
          <w:rFonts w:hint="eastAsia" w:ascii="仿宋_GB2312" w:hAnsi="仿宋_GB2312" w:eastAsia="仿宋_GB2312" w:cs="仿宋_GB2312"/>
          <w:sz w:val="32"/>
          <w:szCs w:val="32"/>
          <w:lang w:val="en-US" w:eastAsia="zh-CN"/>
        </w:rPr>
        <w:t>人。建立并启用老年人大数据平台，整合“三个实有”人口信息平台及社会救助、残联、计生等条线数据，为养老顾问提供技术支撑。助洁、助餐、助医、助行等17项居家养老服务全部上线，老人足不出户就能享受上门服务。</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大民生、大服务格局进一步理顺。</w:t>
      </w:r>
      <w:r>
        <w:rPr>
          <w:rFonts w:hint="eastAsia" w:ascii="仿宋_GB2312" w:hAnsi="仿宋_GB2312" w:eastAsia="仿宋_GB2312" w:cs="仿宋_GB2312"/>
          <w:sz w:val="32"/>
          <w:szCs w:val="32"/>
          <w:lang w:val="en-US" w:eastAsia="zh-CN"/>
        </w:rPr>
        <w:t>规范受理服务，提升标准化建设，实现“一窗通办”,将社保卡、居住证纳入“一口式”受理；进一步优化硬件设施，为群众提供更舒适便利的服务环境。全年共计受理业务量为</w:t>
      </w:r>
      <w:r>
        <w:rPr>
          <w:rFonts w:hint="eastAsia" w:ascii="幼圆" w:hAnsi="幼圆" w:eastAsia="幼圆" w:cs="幼圆"/>
          <w:sz w:val="32"/>
          <w:szCs w:val="32"/>
          <w:lang w:val="en-US" w:eastAsia="zh-CN"/>
        </w:rPr>
        <w:t>10.14</w:t>
      </w:r>
      <w:r>
        <w:rPr>
          <w:rFonts w:hint="eastAsia" w:ascii="仿宋_GB2312" w:hAnsi="仿宋_GB2312" w:eastAsia="仿宋_GB2312" w:cs="仿宋_GB2312"/>
          <w:sz w:val="32"/>
          <w:szCs w:val="32"/>
          <w:lang w:val="en-US" w:eastAsia="zh-CN"/>
        </w:rPr>
        <w:t>万件。完成27个居民区五件套</w:t>
      </w:r>
      <w:r>
        <w:rPr>
          <w:rFonts w:hint="eastAsia" w:ascii="仿宋_GB2312" w:hAnsi="仿宋_GB2312" w:eastAsia="仿宋_GB2312" w:cs="仿宋_GB2312"/>
          <w:sz w:val="32"/>
          <w:szCs w:val="32"/>
          <w:vertAlign w:val="superscript"/>
          <w:lang w:val="en-US" w:eastAsia="zh-CN"/>
        </w:rPr>
        <w:t>4</w:t>
      </w:r>
      <w:r>
        <w:rPr>
          <w:rFonts w:hint="eastAsia" w:ascii="仿宋_GB2312" w:hAnsi="仿宋_GB2312" w:eastAsia="仿宋_GB2312" w:cs="仿宋_GB2312"/>
          <w:sz w:val="32"/>
          <w:szCs w:val="32"/>
          <w:lang w:val="en-US" w:eastAsia="zh-CN"/>
        </w:rPr>
        <w:t>设备安装调试运行，通过远程帮办软件，为辖区内居民提供213项事项无差别受理，全年总计受理</w:t>
      </w:r>
      <w:r>
        <w:rPr>
          <w:rFonts w:hint="eastAsia" w:ascii="幼圆" w:hAnsi="幼圆" w:eastAsia="幼圆" w:cs="幼圆"/>
          <w:sz w:val="32"/>
          <w:szCs w:val="32"/>
          <w:lang w:val="en-US" w:eastAsia="zh-CN"/>
        </w:rPr>
        <w:t>1173</w:t>
      </w:r>
      <w:r>
        <w:rPr>
          <w:rFonts w:hint="eastAsia" w:ascii="仿宋_GB2312" w:hAnsi="仿宋_GB2312" w:eastAsia="仿宋_GB2312" w:cs="仿宋_GB2312"/>
          <w:sz w:val="32"/>
          <w:szCs w:val="32"/>
          <w:lang w:val="en-US" w:eastAsia="zh-CN"/>
        </w:rPr>
        <w:t>件事项。开展智慧医疗服务项目，在社区卫生服务中心和居民区分别建立居民健康服务点；指导就业社工使用移动APP，为就业援助、重点人群提供“1+1+3”指导</w:t>
      </w:r>
      <w:r>
        <w:rPr>
          <w:rFonts w:hint="eastAsia" w:ascii="仿宋_GB2312" w:hAnsi="仿宋_GB2312" w:eastAsia="仿宋_GB2312" w:cs="仿宋_GB2312"/>
          <w:sz w:val="32"/>
          <w:szCs w:val="32"/>
          <w:vertAlign w:val="superscript"/>
          <w:lang w:val="en-US" w:eastAsia="zh-CN"/>
        </w:rPr>
        <w:t>5</w:t>
      </w:r>
      <w:r>
        <w:rPr>
          <w:rFonts w:hint="eastAsia" w:ascii="仿宋_GB2312" w:hAnsi="仿宋_GB2312" w:eastAsia="仿宋_GB2312" w:cs="仿宋_GB2312"/>
          <w:sz w:val="32"/>
          <w:szCs w:val="32"/>
          <w:lang w:val="en-US" w:eastAsia="zh-CN"/>
        </w:rPr>
        <w:t>。拓展社区服务内涵，全年开展</w:t>
      </w:r>
      <w:r>
        <w:rPr>
          <w:rFonts w:hint="eastAsia" w:ascii="仿宋_GB2312" w:hAnsi="仿宋_GB2312" w:eastAsia="仿宋_GB2312" w:cs="仿宋_GB2312"/>
          <w:kern w:val="2"/>
          <w:sz w:val="32"/>
          <w:szCs w:val="32"/>
        </w:rPr>
        <w:t>5场AED普及讲座</w:t>
      </w:r>
      <w:r>
        <w:rPr>
          <w:rFonts w:hint="eastAsia" w:ascii="仿宋_GB2312" w:hAnsi="仿宋_GB2312" w:eastAsia="仿宋_GB2312" w:cs="仿宋_GB2312"/>
          <w:kern w:val="2"/>
          <w:sz w:val="32"/>
          <w:szCs w:val="32"/>
          <w:lang w:eastAsia="zh-CN"/>
        </w:rPr>
        <w:t>以及</w:t>
      </w:r>
      <w:r>
        <w:rPr>
          <w:rFonts w:hint="eastAsia" w:ascii="仿宋_GB2312" w:hAnsi="仿宋_GB2312" w:eastAsia="仿宋_GB2312" w:cs="仿宋_GB2312"/>
          <w:kern w:val="2"/>
          <w:sz w:val="32"/>
          <w:szCs w:val="32"/>
        </w:rPr>
        <w:t>1000</w:t>
      </w:r>
      <w:r>
        <w:rPr>
          <w:rFonts w:hint="eastAsia" w:ascii="仿宋_GB2312" w:hAnsi="仿宋_GB2312" w:eastAsia="仿宋_GB2312" w:cs="仿宋_GB2312"/>
          <w:kern w:val="2"/>
          <w:sz w:val="32"/>
          <w:szCs w:val="32"/>
          <w:lang w:eastAsia="zh-CN"/>
        </w:rPr>
        <w:t>人次的</w:t>
      </w:r>
      <w:r>
        <w:rPr>
          <w:rFonts w:hint="eastAsia" w:ascii="仿宋_GB2312" w:hAnsi="仿宋_GB2312" w:eastAsia="仿宋_GB2312" w:cs="仿宋_GB2312"/>
          <w:kern w:val="2"/>
          <w:sz w:val="32"/>
          <w:szCs w:val="32"/>
        </w:rPr>
        <w:t>普及培训</w:t>
      </w:r>
      <w:r>
        <w:rPr>
          <w:rFonts w:hint="eastAsia" w:ascii="仿宋_GB2312" w:hAnsi="仿宋_GB2312" w:eastAsia="仿宋_GB2312" w:cs="仿宋_GB2312"/>
          <w:kern w:val="2"/>
          <w:sz w:val="32"/>
          <w:szCs w:val="32"/>
          <w:lang w:eastAsia="zh-CN"/>
        </w:rPr>
        <w:t>，加强</w:t>
      </w:r>
      <w:r>
        <w:rPr>
          <w:rFonts w:hint="eastAsia" w:ascii="仿宋_GB2312" w:hAnsi="仿宋_GB2312" w:eastAsia="仿宋_GB2312" w:cs="仿宋_GB2312"/>
          <w:kern w:val="2"/>
          <w:sz w:val="32"/>
          <w:szCs w:val="32"/>
        </w:rPr>
        <w:t>辖区</w:t>
      </w:r>
      <w:r>
        <w:rPr>
          <w:rFonts w:hint="eastAsia" w:ascii="仿宋_GB2312" w:hAnsi="仿宋_GB2312" w:eastAsia="仿宋_GB2312" w:cs="仿宋_GB2312"/>
          <w:kern w:val="2"/>
          <w:sz w:val="32"/>
          <w:szCs w:val="32"/>
          <w:lang w:eastAsia="zh-CN"/>
        </w:rPr>
        <w:t>居民对救护知识的了解；承接新区“家门口”</w:t>
      </w:r>
      <w:r>
        <w:rPr>
          <w:rFonts w:hint="eastAsia" w:ascii="仿宋_GB2312" w:hAnsi="仿宋_GB2312" w:eastAsia="仿宋_GB2312" w:cs="仿宋_GB2312"/>
          <w:kern w:val="2"/>
          <w:sz w:val="32"/>
          <w:szCs w:val="32"/>
          <w:lang w:val="en-US" w:eastAsia="zh-CN"/>
        </w:rPr>
        <w:t>+助残服务</w:t>
      </w:r>
      <w:r>
        <w:rPr>
          <w:rFonts w:hint="eastAsia" w:ascii="仿宋_GB2312" w:hAnsi="仿宋_GB2312" w:eastAsia="仿宋_GB2312" w:cs="仿宋_GB2312"/>
          <w:kern w:val="2"/>
          <w:sz w:val="32"/>
          <w:szCs w:val="32"/>
          <w:lang w:eastAsia="zh-CN"/>
        </w:rPr>
        <w:t>试点工作，助推残疾人事业再发展；推动优生优育服务进一步转型。</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供需匹配精准度进一步加强。</w:t>
      </w:r>
      <w:r>
        <w:rPr>
          <w:rFonts w:hint="eastAsia" w:ascii="仿宋_GB2312" w:hAnsi="仿宋_GB2312" w:eastAsia="仿宋_GB2312" w:cs="仿宋_GB2312"/>
          <w:sz w:val="32"/>
          <w:szCs w:val="32"/>
          <w:lang w:val="en-US" w:eastAsia="zh-CN"/>
        </w:rPr>
        <w:t>全年成功推荐就业</w:t>
      </w:r>
      <w:r>
        <w:rPr>
          <w:rFonts w:hint="eastAsia" w:ascii="幼圆" w:hAnsi="幼圆" w:eastAsia="幼圆" w:cs="幼圆"/>
          <w:sz w:val="32"/>
          <w:szCs w:val="32"/>
          <w:lang w:val="en-US" w:eastAsia="zh-CN"/>
        </w:rPr>
        <w:t>126</w:t>
      </w:r>
      <w:r>
        <w:rPr>
          <w:rFonts w:hint="eastAsia" w:ascii="仿宋_GB2312" w:hAnsi="仿宋_GB2312" w:eastAsia="仿宋_GB2312" w:cs="仿宋_GB2312"/>
          <w:sz w:val="32"/>
          <w:szCs w:val="32"/>
          <w:lang w:val="en-US" w:eastAsia="zh-CN"/>
        </w:rPr>
        <w:t>人；认定就业困难人员</w:t>
      </w:r>
      <w:r>
        <w:rPr>
          <w:rFonts w:hint="eastAsia" w:ascii="幼圆" w:hAnsi="幼圆" w:eastAsia="幼圆" w:cs="幼圆"/>
          <w:sz w:val="32"/>
          <w:szCs w:val="32"/>
          <w:lang w:val="en-US" w:eastAsia="zh-CN"/>
        </w:rPr>
        <w:t>226</w:t>
      </w:r>
      <w:r>
        <w:rPr>
          <w:rFonts w:hint="eastAsia" w:ascii="仿宋_GB2312" w:hAnsi="仿宋_GB2312" w:eastAsia="仿宋_GB2312" w:cs="仿宋_GB2312"/>
          <w:sz w:val="32"/>
          <w:szCs w:val="32"/>
          <w:lang w:val="en-US" w:eastAsia="zh-CN"/>
        </w:rPr>
        <w:t>人，安置率</w:t>
      </w:r>
      <w:r>
        <w:rPr>
          <w:rFonts w:hint="eastAsia" w:ascii="幼圆" w:hAnsi="幼圆" w:eastAsia="幼圆" w:cs="幼圆"/>
          <w:sz w:val="32"/>
          <w:szCs w:val="32"/>
          <w:lang w:val="en-US" w:eastAsia="zh-CN"/>
        </w:rPr>
        <w:t>100</w:t>
      </w:r>
      <w:r>
        <w:rPr>
          <w:rFonts w:hint="eastAsia" w:ascii="仿宋_GB2312" w:hAnsi="仿宋_GB2312" w:eastAsia="仿宋_GB2312" w:cs="仿宋_GB2312"/>
          <w:sz w:val="32"/>
          <w:szCs w:val="32"/>
          <w:lang w:val="en-US" w:eastAsia="zh-CN"/>
        </w:rPr>
        <w:t>%；开展职业技能培训</w:t>
      </w:r>
      <w:r>
        <w:rPr>
          <w:rFonts w:hint="eastAsia" w:ascii="幼圆" w:hAnsi="幼圆" w:eastAsia="幼圆" w:cs="幼圆"/>
          <w:sz w:val="32"/>
          <w:szCs w:val="32"/>
          <w:lang w:val="en-US" w:eastAsia="zh-CN"/>
        </w:rPr>
        <w:t>439</w:t>
      </w:r>
      <w:r>
        <w:rPr>
          <w:rFonts w:hint="eastAsia" w:ascii="仿宋_GB2312" w:hAnsi="仿宋_GB2312" w:eastAsia="仿宋_GB2312" w:cs="仿宋_GB2312"/>
          <w:sz w:val="32"/>
          <w:szCs w:val="32"/>
          <w:lang w:val="en-US" w:eastAsia="zh-CN"/>
        </w:rPr>
        <w:t>人。开展低保工作的专项检查，做好分类施保。全年累计受理低保、专项救助等共计</w:t>
      </w:r>
      <w:r>
        <w:rPr>
          <w:rFonts w:hint="eastAsia" w:ascii="幼圆" w:hAnsi="幼圆" w:eastAsia="幼圆" w:cs="幼圆"/>
          <w:sz w:val="32"/>
          <w:szCs w:val="32"/>
          <w:lang w:val="en-US" w:eastAsia="zh-CN"/>
        </w:rPr>
        <w:t>92020人</w:t>
      </w:r>
      <w:r>
        <w:rPr>
          <w:rFonts w:hint="eastAsia" w:ascii="仿宋_GB2312" w:hAnsi="仿宋_GB2312" w:eastAsia="仿宋_GB2312" w:cs="仿宋_GB2312"/>
          <w:sz w:val="32"/>
          <w:szCs w:val="32"/>
          <w:lang w:val="en-US" w:eastAsia="zh-CN"/>
        </w:rPr>
        <w:t>次，发放各类补助金共计</w:t>
      </w:r>
      <w:r>
        <w:rPr>
          <w:rFonts w:hint="eastAsia" w:ascii="幼圆" w:hAnsi="幼圆" w:eastAsia="幼圆" w:cs="幼圆"/>
          <w:sz w:val="32"/>
          <w:szCs w:val="32"/>
          <w:lang w:val="en-US" w:eastAsia="zh-CN"/>
        </w:rPr>
        <w:t>3763.33</w:t>
      </w:r>
      <w:r>
        <w:rPr>
          <w:rFonts w:hint="eastAsia" w:ascii="仿宋_GB2312" w:hAnsi="仿宋_GB2312" w:eastAsia="仿宋_GB2312" w:cs="仿宋_GB2312"/>
          <w:sz w:val="32"/>
          <w:szCs w:val="32"/>
          <w:lang w:val="en-US" w:eastAsia="zh-CN"/>
        </w:rPr>
        <w:t>万元。推进</w:t>
      </w:r>
      <w:r>
        <w:rPr>
          <w:rFonts w:hint="eastAsia" w:ascii="仿宋_GB2312" w:hAnsi="仿宋_GB2312" w:eastAsia="仿宋_GB2312" w:cs="仿宋_GB2312"/>
          <w:color w:val="000000"/>
          <w:sz w:val="32"/>
          <w:szCs w:val="32"/>
          <w:lang w:eastAsia="zh-CN"/>
        </w:rPr>
        <w:t>退役军人服务站建设，落实各项优抚安置政策，全年</w:t>
      </w:r>
      <w:r>
        <w:rPr>
          <w:rFonts w:hint="eastAsia" w:ascii="仿宋" w:hAnsi="仿宋" w:eastAsia="仿宋"/>
          <w:sz w:val="32"/>
          <w:szCs w:val="32"/>
          <w:lang w:eastAsia="zh-CN"/>
        </w:rPr>
        <w:t>采集退役军人信息共</w:t>
      </w:r>
      <w:r>
        <w:rPr>
          <w:rFonts w:hint="eastAsia" w:ascii="仿宋" w:hAnsi="仿宋" w:eastAsia="仿宋"/>
          <w:sz w:val="32"/>
          <w:szCs w:val="32"/>
          <w:lang w:val="en-US" w:eastAsia="zh-CN"/>
        </w:rPr>
        <w:t>2570名，</w:t>
      </w:r>
      <w:r>
        <w:rPr>
          <w:rFonts w:hint="eastAsia" w:ascii="仿宋" w:hAnsi="仿宋" w:eastAsia="仿宋"/>
          <w:sz w:val="32"/>
          <w:szCs w:val="32"/>
        </w:rPr>
        <w:t>发放各类抚恤补助金</w:t>
      </w:r>
      <w:r>
        <w:rPr>
          <w:rFonts w:hint="eastAsia" w:ascii="仿宋" w:hAnsi="仿宋" w:eastAsia="仿宋"/>
          <w:sz w:val="32"/>
          <w:szCs w:val="32"/>
          <w:lang w:eastAsia="zh-CN"/>
        </w:rPr>
        <w:t>约</w:t>
      </w:r>
      <w:r>
        <w:rPr>
          <w:rFonts w:hint="eastAsia" w:ascii="仿宋" w:hAnsi="仿宋" w:eastAsia="仿宋"/>
          <w:sz w:val="32"/>
          <w:szCs w:val="32"/>
          <w:lang w:val="en-US" w:eastAsia="zh-CN"/>
        </w:rPr>
        <w:t>378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_GB2312" w:hAnsi="仿宋_GB2312" w:eastAsia="仿宋_GB2312" w:cs="仿宋_GB2312"/>
          <w:sz w:val="32"/>
          <w:szCs w:val="32"/>
          <w:lang w:val="en-US" w:eastAsia="zh-CN"/>
        </w:rPr>
        <w:t>受贸易战影响，今年区域经济呈小幅波动，民营经济发展面临较大压力。截止11月底，引进企业</w:t>
      </w:r>
      <w:r>
        <w:rPr>
          <w:rFonts w:hint="eastAsia" w:ascii="幼圆" w:hAnsi="幼圆" w:eastAsia="幼圆" w:cs="幼圆"/>
          <w:sz w:val="32"/>
          <w:szCs w:val="32"/>
          <w:lang w:val="en-US" w:eastAsia="zh-CN"/>
        </w:rPr>
        <w:t>73</w:t>
      </w:r>
      <w:r>
        <w:rPr>
          <w:rFonts w:hint="eastAsia" w:ascii="仿宋_GB2312" w:hAnsi="仿宋_GB2312" w:eastAsia="仿宋_GB2312" w:cs="仿宋_GB2312"/>
          <w:sz w:val="32"/>
          <w:szCs w:val="32"/>
          <w:lang w:val="en-US" w:eastAsia="zh-CN"/>
        </w:rPr>
        <w:t>家，吸引内资投资</w:t>
      </w:r>
      <w:r>
        <w:rPr>
          <w:rFonts w:hint="eastAsia" w:ascii="幼圆" w:hAnsi="幼圆" w:eastAsia="幼圆" w:cs="幼圆"/>
          <w:sz w:val="32"/>
          <w:szCs w:val="32"/>
          <w:lang w:val="en-US" w:eastAsia="zh-CN"/>
        </w:rPr>
        <w:t>9.38</w:t>
      </w:r>
      <w:r>
        <w:rPr>
          <w:rFonts w:hint="eastAsia" w:ascii="仿宋_GB2312" w:hAnsi="仿宋_GB2312" w:eastAsia="仿宋_GB2312" w:cs="仿宋_GB2312"/>
          <w:sz w:val="32"/>
          <w:szCs w:val="32"/>
          <w:lang w:val="en-US" w:eastAsia="zh-CN"/>
        </w:rPr>
        <w:t>亿元，外资</w:t>
      </w:r>
      <w:r>
        <w:rPr>
          <w:rFonts w:hint="eastAsia" w:ascii="幼圆" w:hAnsi="幼圆" w:eastAsia="幼圆" w:cs="幼圆"/>
          <w:sz w:val="32"/>
          <w:szCs w:val="32"/>
          <w:lang w:val="en-US" w:eastAsia="zh-CN"/>
        </w:rPr>
        <w:t>701.4</w:t>
      </w:r>
      <w:r>
        <w:rPr>
          <w:rFonts w:hint="eastAsia" w:ascii="仿宋_GB2312" w:hAnsi="仿宋_GB2312" w:eastAsia="仿宋_GB2312" w:cs="仿宋_GB2312"/>
          <w:sz w:val="32"/>
          <w:szCs w:val="32"/>
          <w:lang w:val="en-US" w:eastAsia="zh-CN"/>
        </w:rPr>
        <w:t>万美元；实现财政总收入</w:t>
      </w:r>
      <w:r>
        <w:rPr>
          <w:rFonts w:hint="eastAsia" w:ascii="幼圆" w:hAnsi="幼圆" w:eastAsia="幼圆" w:cs="幼圆"/>
          <w:sz w:val="32"/>
          <w:szCs w:val="32"/>
          <w:lang w:val="en-US" w:eastAsia="zh-CN"/>
        </w:rPr>
        <w:t>5.46</w:t>
      </w:r>
      <w:r>
        <w:rPr>
          <w:rFonts w:hint="eastAsia" w:ascii="仿宋_GB2312" w:hAnsi="仿宋_GB2312" w:eastAsia="仿宋_GB2312" w:cs="仿宋_GB2312"/>
          <w:sz w:val="32"/>
          <w:szCs w:val="32"/>
          <w:lang w:val="en-US" w:eastAsia="zh-CN"/>
        </w:rPr>
        <w:t>亿元，地方财政收入</w:t>
      </w:r>
      <w:r>
        <w:rPr>
          <w:rFonts w:hint="eastAsia" w:ascii="幼圆" w:hAnsi="幼圆" w:eastAsia="幼圆" w:cs="幼圆"/>
          <w:sz w:val="32"/>
          <w:szCs w:val="32"/>
          <w:lang w:val="en-US" w:eastAsia="zh-CN"/>
        </w:rPr>
        <w:t>1.65</w:t>
      </w:r>
      <w:r>
        <w:rPr>
          <w:rFonts w:hint="eastAsia" w:ascii="仿宋_GB2312" w:hAnsi="仿宋_GB2312" w:eastAsia="仿宋_GB2312" w:cs="仿宋_GB2312"/>
          <w:sz w:val="32"/>
          <w:szCs w:val="32"/>
          <w:lang w:val="en-US" w:eastAsia="zh-CN"/>
        </w:rPr>
        <w:t>亿元。</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（三）夯基垒土，安全保障基础持续巩固</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筑牢防线，构建“码头门神”</w:t>
      </w:r>
      <w:r>
        <w:rPr>
          <w:rFonts w:hint="eastAsia" w:ascii="仿宋_GB2312" w:hAnsi="仿宋_GB2312" w:eastAsia="仿宋_GB2312" w:cs="仿宋_GB2312"/>
          <w:sz w:val="32"/>
          <w:szCs w:val="32"/>
          <w:vertAlign w:val="superscript"/>
          <w:lang w:val="en-US" w:eastAsia="zh-CN"/>
        </w:rPr>
        <w:t>6</w:t>
      </w:r>
      <w:r>
        <w:rPr>
          <w:rFonts w:hint="eastAsia" w:ascii="仿宋_GB2312" w:hAnsi="仿宋_GB2312" w:eastAsia="仿宋_GB2312" w:cs="仿宋_GB2312"/>
          <w:b/>
          <w:bCs/>
          <w:sz w:val="32"/>
          <w:szCs w:val="32"/>
          <w:lang w:val="en-US" w:eastAsia="zh-CN"/>
        </w:rPr>
        <w:t>体系。</w:t>
      </w:r>
      <w:r>
        <w:rPr>
          <w:rFonts w:hint="eastAsia" w:ascii="仿宋_GB2312" w:hAnsi="仿宋_GB2312" w:eastAsia="仿宋_GB2312" w:cs="仿宋_GB2312"/>
          <w:sz w:val="32"/>
          <w:szCs w:val="32"/>
          <w:lang w:val="en-US" w:eastAsia="zh-CN"/>
        </w:rPr>
        <w:t>深入调研南码头路街道平安建设现状，精确界定“码头门神”内涵与外延，打造平安社区社会治理创新项目，形成《“码头门神”调研报告》及《“码头门神”平安建设实施方案》。配合新区做好56个老旧小区智能安防建设调查摸底；完成12个商品房小区智能安防建设；完成齐锦苑等9个小区充电桩项目，建业新村等17个小区电子门禁改造，临沂五村等7个小区电子围栏整修工程。成立街道扫黑除恶专项斗争工作领导小组，制定专项斗争工作方案，坚持露头就打，严防滋生黑恶势力。加强各类案件的打击防控力度，全年共接处110报警11978起，同比减少12.36%。其中，报警类警情2708起，同比减少15.84%；侵权类、偷盗类警情降幅明显，侵权类警情同比减少33.53%，偷盗类警情同比减少26.77%。</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综合施策，守住安全运行底线。</w:t>
      </w:r>
      <w:r>
        <w:rPr>
          <w:rFonts w:hint="eastAsia" w:ascii="仿宋_GB2312" w:hAnsi="仿宋_GB2312" w:eastAsia="仿宋_GB2312" w:cs="仿宋_GB2312"/>
          <w:sz w:val="32"/>
          <w:szCs w:val="32"/>
          <w:lang w:val="en-US" w:eastAsia="zh-CN"/>
        </w:rPr>
        <w:t>强化对人员密集场所值守布控，对重点对象进行排查摸底，确保全国两会、国庆70周年及第二届进博会等重要节点期间平稳有序。全年共检查各类单位</w:t>
      </w:r>
      <w:r>
        <w:rPr>
          <w:rFonts w:hint="eastAsia" w:ascii="幼圆" w:hAnsi="幼圆" w:eastAsia="幼圆" w:cs="幼圆"/>
          <w:sz w:val="32"/>
          <w:szCs w:val="32"/>
          <w:lang w:val="en-US" w:eastAsia="zh-CN"/>
        </w:rPr>
        <w:t>1075</w:t>
      </w:r>
      <w:r>
        <w:rPr>
          <w:rFonts w:hint="eastAsia" w:ascii="仿宋_GB2312" w:hAnsi="仿宋_GB2312" w:eastAsia="仿宋_GB2312" w:cs="仿宋_GB2312"/>
          <w:sz w:val="32"/>
          <w:szCs w:val="32"/>
          <w:lang w:val="en-US" w:eastAsia="zh-CN"/>
        </w:rPr>
        <w:t>家，发现安全隐患</w:t>
      </w:r>
      <w:r>
        <w:rPr>
          <w:rFonts w:hint="eastAsia" w:ascii="幼圆" w:hAnsi="幼圆" w:eastAsia="幼圆" w:cs="幼圆"/>
          <w:sz w:val="32"/>
          <w:szCs w:val="32"/>
          <w:lang w:val="en-US" w:eastAsia="zh-CN"/>
        </w:rPr>
        <w:t>372</w:t>
      </w:r>
      <w:r>
        <w:rPr>
          <w:rFonts w:hint="eastAsia" w:ascii="仿宋_GB2312" w:hAnsi="仿宋_GB2312" w:eastAsia="仿宋_GB2312" w:cs="仿宋_GB2312"/>
          <w:sz w:val="32"/>
          <w:szCs w:val="32"/>
          <w:lang w:val="en-US" w:eastAsia="zh-CN"/>
        </w:rPr>
        <w:t>处，全部完成整改；进行“群租”专项整治行动</w:t>
      </w:r>
      <w:r>
        <w:rPr>
          <w:rFonts w:hint="eastAsia" w:ascii="幼圆" w:hAnsi="幼圆" w:eastAsia="幼圆" w:cs="幼圆"/>
          <w:sz w:val="32"/>
          <w:szCs w:val="32"/>
          <w:lang w:val="en-US" w:eastAsia="zh-CN"/>
        </w:rPr>
        <w:t>2</w:t>
      </w:r>
      <w:r>
        <w:rPr>
          <w:rFonts w:hint="eastAsia" w:ascii="仿宋_GB2312" w:hAnsi="仿宋_GB2312" w:eastAsia="仿宋_GB2312" w:cs="仿宋_GB2312"/>
          <w:sz w:val="32"/>
          <w:szCs w:val="32"/>
          <w:lang w:val="en-US" w:eastAsia="zh-CN"/>
        </w:rPr>
        <w:t>次，完成</w:t>
      </w:r>
      <w:r>
        <w:rPr>
          <w:rFonts w:hint="eastAsia" w:ascii="幼圆" w:hAnsi="幼圆" w:eastAsia="幼圆" w:cs="幼圆"/>
          <w:sz w:val="32"/>
          <w:szCs w:val="32"/>
          <w:lang w:val="en-US" w:eastAsia="zh-CN"/>
        </w:rPr>
        <w:t>38</w:t>
      </w:r>
      <w:r>
        <w:rPr>
          <w:rFonts w:hint="eastAsia" w:ascii="仿宋_GB2312" w:hAnsi="仿宋_GB2312" w:eastAsia="仿宋_GB2312" w:cs="仿宋_GB2312"/>
          <w:sz w:val="32"/>
          <w:szCs w:val="32"/>
          <w:lang w:val="en-US" w:eastAsia="zh-CN"/>
        </w:rPr>
        <w:t>个“群租”隐患点的整治；非机动车交通违法综合整治及非法客运整治常态化，累计开展集中整治</w:t>
      </w:r>
      <w:r>
        <w:rPr>
          <w:rFonts w:hint="eastAsia" w:ascii="幼圆" w:hAnsi="幼圆" w:eastAsia="幼圆" w:cs="幼圆"/>
          <w:sz w:val="32"/>
          <w:szCs w:val="32"/>
          <w:lang w:val="en-US" w:eastAsia="zh-CN"/>
        </w:rPr>
        <w:t>100</w:t>
      </w:r>
      <w:r>
        <w:rPr>
          <w:rFonts w:hint="eastAsia" w:ascii="仿宋_GB2312" w:hAnsi="仿宋_GB2312" w:eastAsia="仿宋_GB2312" w:cs="仿宋_GB2312"/>
          <w:sz w:val="32"/>
          <w:szCs w:val="32"/>
          <w:lang w:val="en-US" w:eastAsia="zh-CN"/>
        </w:rPr>
        <w:t>余次，查获非法客运四轮机动车</w:t>
      </w:r>
      <w:r>
        <w:rPr>
          <w:rFonts w:hint="eastAsia" w:ascii="幼圆" w:hAnsi="幼圆" w:eastAsia="幼圆" w:cs="幼圆"/>
          <w:sz w:val="32"/>
          <w:szCs w:val="32"/>
          <w:lang w:val="en-US" w:eastAsia="zh-CN"/>
        </w:rPr>
        <w:t>5</w:t>
      </w:r>
      <w:r>
        <w:rPr>
          <w:rFonts w:hint="eastAsia" w:ascii="仿宋_GB2312" w:hAnsi="仿宋_GB2312" w:eastAsia="仿宋_GB2312" w:cs="仿宋_GB2312"/>
          <w:sz w:val="32"/>
          <w:szCs w:val="32"/>
          <w:lang w:val="en-US" w:eastAsia="zh-CN"/>
        </w:rPr>
        <w:t>辆，处罚机动车违停1196起，处罚非机动车违章26302起、行人违章1277起；开展高空坠物专项检查及店招店牌专项整治工作，拆除各类招牌</w:t>
      </w:r>
      <w:r>
        <w:rPr>
          <w:rFonts w:hint="eastAsia" w:ascii="幼圆" w:hAnsi="幼圆" w:eastAsia="幼圆" w:cs="幼圆"/>
          <w:sz w:val="32"/>
          <w:szCs w:val="32"/>
          <w:lang w:val="en-US" w:eastAsia="zh-CN"/>
        </w:rPr>
        <w:t>161</w:t>
      </w:r>
      <w:r>
        <w:rPr>
          <w:rFonts w:hint="eastAsia" w:ascii="仿宋_GB2312" w:hAnsi="仿宋_GB2312" w:eastAsia="仿宋_GB2312" w:cs="仿宋_GB2312"/>
          <w:sz w:val="32"/>
          <w:szCs w:val="32"/>
          <w:lang w:val="en-US" w:eastAsia="zh-CN"/>
        </w:rPr>
        <w:t>块；全面检查老旧小区楼道灭火器，更新、保养</w:t>
      </w:r>
      <w:r>
        <w:rPr>
          <w:rFonts w:hint="eastAsia" w:ascii="幼圆" w:hAnsi="幼圆" w:eastAsia="幼圆" w:cs="幼圆"/>
          <w:sz w:val="32"/>
          <w:szCs w:val="32"/>
          <w:lang w:val="en-US" w:eastAsia="zh-CN"/>
        </w:rPr>
        <w:t>4000</w:t>
      </w:r>
      <w:r>
        <w:rPr>
          <w:rFonts w:hint="eastAsia" w:ascii="仿宋_GB2312" w:hAnsi="仿宋_GB2312" w:eastAsia="仿宋_GB2312" w:cs="仿宋_GB2312"/>
          <w:sz w:val="32"/>
          <w:szCs w:val="32"/>
          <w:lang w:val="en-US" w:eastAsia="zh-CN"/>
        </w:rPr>
        <w:t>多具。完成“四经普”、住户调查、1%人口普查及出行调查工作并通过新区工作组验收。将“四经普”成果纳入“三个实有”平台，做好平台的升级改造工作。不断完善实地核查制度，做好“四网一平台”</w:t>
      </w:r>
      <w:r>
        <w:rPr>
          <w:rFonts w:hint="eastAsia" w:ascii="仿宋_GB2312" w:hAnsi="仿宋_GB2312" w:eastAsia="仿宋_GB2312" w:cs="仿宋_GB2312"/>
          <w:sz w:val="32"/>
          <w:szCs w:val="32"/>
          <w:vertAlign w:val="superscript"/>
          <w:lang w:val="en-US" w:eastAsia="zh-CN"/>
        </w:rPr>
        <w:t>7</w:t>
      </w:r>
      <w:r>
        <w:rPr>
          <w:rFonts w:hint="eastAsia" w:ascii="仿宋_GB2312" w:hAnsi="仿宋_GB2312" w:eastAsia="仿宋_GB2312" w:cs="仿宋_GB2312"/>
          <w:sz w:val="32"/>
          <w:szCs w:val="32"/>
          <w:lang w:val="en-US" w:eastAsia="zh-CN"/>
        </w:rPr>
        <w:t>数据维护和录入。</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点面结合，推进信访矛盾化解。</w:t>
      </w:r>
      <w:r>
        <w:rPr>
          <w:rFonts w:hint="eastAsia" w:ascii="仿宋_GB2312" w:hAnsi="仿宋_GB2312" w:eastAsia="仿宋_GB2312" w:cs="仿宋_GB2312"/>
          <w:sz w:val="32"/>
          <w:szCs w:val="32"/>
          <w:lang w:val="en-US" w:eastAsia="zh-CN"/>
        </w:rPr>
        <w:t>全年信访形式总体平稳，收到来信来访来电</w:t>
      </w:r>
      <w:r>
        <w:rPr>
          <w:rFonts w:hint="eastAsia" w:ascii="幼圆" w:hAnsi="幼圆" w:eastAsia="幼圆" w:cs="幼圆"/>
          <w:sz w:val="32"/>
          <w:szCs w:val="32"/>
          <w:lang w:val="en-US" w:eastAsia="zh-CN"/>
        </w:rPr>
        <w:t>419</w:t>
      </w:r>
      <w:r>
        <w:rPr>
          <w:rFonts w:hint="eastAsia" w:ascii="仿宋_GB2312" w:hAnsi="仿宋_GB2312" w:eastAsia="仿宋_GB2312" w:cs="仿宋_GB2312"/>
          <w:sz w:val="32"/>
          <w:szCs w:val="32"/>
          <w:lang w:val="en-US" w:eastAsia="zh-CN"/>
        </w:rPr>
        <w:t>件。重点推动地铁七号线建业新村出入口开通、六里一居民区浦祥苑产证办理等历史遗留问题解决。南码头路街道人民调解委员会及各居委调委会全年共调处矛盾纠纷</w:t>
      </w:r>
      <w:r>
        <w:rPr>
          <w:rFonts w:hint="eastAsia" w:ascii="幼圆" w:hAnsi="幼圆" w:eastAsia="幼圆" w:cs="幼圆"/>
          <w:sz w:val="32"/>
          <w:szCs w:val="32"/>
          <w:lang w:val="en-US" w:eastAsia="zh-CN"/>
        </w:rPr>
        <w:t>1120</w:t>
      </w:r>
      <w:r>
        <w:rPr>
          <w:rFonts w:hint="eastAsia" w:ascii="仿宋_GB2312" w:hAnsi="仿宋_GB2312" w:eastAsia="仿宋_GB2312" w:cs="仿宋_GB2312"/>
          <w:sz w:val="32"/>
          <w:szCs w:val="32"/>
          <w:lang w:val="en-US" w:eastAsia="zh-CN"/>
        </w:rPr>
        <w:t>件，成功化解</w:t>
      </w:r>
      <w:r>
        <w:rPr>
          <w:rFonts w:hint="eastAsia" w:ascii="幼圆" w:hAnsi="幼圆" w:eastAsia="幼圆" w:cs="幼圆"/>
          <w:sz w:val="32"/>
          <w:szCs w:val="32"/>
          <w:lang w:val="en-US" w:eastAsia="zh-CN"/>
        </w:rPr>
        <w:t>1110</w:t>
      </w:r>
      <w:r>
        <w:rPr>
          <w:rFonts w:hint="eastAsia" w:ascii="仿宋_GB2312" w:hAnsi="仿宋_GB2312" w:eastAsia="仿宋_GB2312" w:cs="仿宋_GB2312"/>
          <w:sz w:val="32"/>
          <w:szCs w:val="32"/>
          <w:lang w:val="en-US" w:eastAsia="zh-CN"/>
        </w:rPr>
        <w:t>起，调解成功率</w:t>
      </w:r>
      <w:r>
        <w:rPr>
          <w:rFonts w:hint="eastAsia" w:ascii="幼圆" w:hAnsi="幼圆" w:eastAsia="幼圆" w:cs="幼圆"/>
          <w:sz w:val="32"/>
          <w:szCs w:val="32"/>
          <w:lang w:val="en-US" w:eastAsia="zh-CN"/>
        </w:rPr>
        <w:t>99.1</w:t>
      </w:r>
      <w:r>
        <w:rPr>
          <w:rFonts w:hint="eastAsia" w:ascii="仿宋_GB2312" w:hAnsi="仿宋_GB2312" w:eastAsia="仿宋_GB2312" w:cs="仿宋_GB2312"/>
          <w:sz w:val="32"/>
          <w:szCs w:val="32"/>
          <w:lang w:val="en-US" w:eastAsia="zh-CN"/>
        </w:rPr>
        <w:t>%。积极引入专业法律顾问，成功参与处理“五违四必”整治过程中各类矛盾的调处。根据市、区标准化规范，确定了标准化建设布局方案，严格落实“六个一”建设要求，促进接访工作走向规范化、精准化、法治化。</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（四）减负增能，社区共治载体持续丰富</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“家门口”持续提质增能。</w:t>
      </w:r>
      <w:r>
        <w:rPr>
          <w:rFonts w:hint="eastAsia" w:ascii="仿宋_GB2312" w:hAnsi="仿宋_GB2312" w:eastAsia="仿宋_GB2312" w:cs="仿宋_GB2312"/>
          <w:sz w:val="32"/>
          <w:szCs w:val="32"/>
          <w:lang w:val="en-US" w:eastAsia="zh-CN"/>
        </w:rPr>
        <w:t>落实“基层减负年”要求，推进电子台账“多表合一”，在27个居民区有序落实。配送养老、文化、法律等专业服务，链接“家门口”服务最后100米。全年共计开展专业养老服务活动</w:t>
      </w:r>
      <w:r>
        <w:rPr>
          <w:rFonts w:hint="eastAsia" w:ascii="幼圆" w:hAnsi="幼圆" w:eastAsia="幼圆" w:cs="幼圆"/>
          <w:sz w:val="32"/>
          <w:szCs w:val="32"/>
          <w:lang w:val="en-US" w:eastAsia="zh-CN"/>
        </w:rPr>
        <w:t>159</w:t>
      </w:r>
      <w:r>
        <w:rPr>
          <w:rFonts w:hint="eastAsia" w:ascii="仿宋_GB2312" w:hAnsi="仿宋_GB2312" w:eastAsia="仿宋_GB2312" w:cs="仿宋_GB2312"/>
          <w:sz w:val="32"/>
          <w:szCs w:val="32"/>
          <w:lang w:val="en-US" w:eastAsia="zh-CN"/>
        </w:rPr>
        <w:t>次，将团体康复、失智症康复、认知预防、心理辅导等主题服务配送到各居民区；“便民大篷车”每周巡回进居民区；成立南码头文化专业指导员队伍，覆盖17种类别；“家门口”律师及时答疑解惑，指导社区居民制定《社区自治章程》《社区居民公约》。</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居民自治力持续增强。</w:t>
      </w:r>
      <w:r>
        <w:rPr>
          <w:rFonts w:hint="eastAsia" w:ascii="仿宋_GB2312" w:hAnsi="仿宋_GB2312" w:eastAsia="仿宋_GB2312" w:cs="仿宋_GB2312"/>
          <w:sz w:val="32"/>
          <w:szCs w:val="32"/>
          <w:lang w:val="en-US" w:eastAsia="zh-CN"/>
        </w:rPr>
        <w:t>完成“三会”</w:t>
      </w:r>
      <w:r>
        <w:rPr>
          <w:rFonts w:hint="eastAsia" w:ascii="仿宋_GB2312" w:hAnsi="仿宋_GB2312" w:eastAsia="仿宋_GB2312" w:cs="仿宋_GB2312"/>
          <w:sz w:val="32"/>
          <w:szCs w:val="32"/>
          <w:vertAlign w:val="superscript"/>
          <w:lang w:val="en-US" w:eastAsia="zh-CN"/>
        </w:rPr>
        <w:t>8</w:t>
      </w:r>
      <w:r>
        <w:rPr>
          <w:rFonts w:hint="eastAsia" w:ascii="仿宋_GB2312" w:hAnsi="仿宋_GB2312" w:eastAsia="仿宋_GB2312" w:cs="仿宋_GB2312"/>
          <w:sz w:val="32"/>
          <w:szCs w:val="32"/>
          <w:lang w:val="en-US" w:eastAsia="zh-CN"/>
        </w:rPr>
        <w:t>制度流程上墙，加强“三会”应用，结合居民区实事项目、“自治金”项目，让居民群众合理有序地参与意见表达，妥善解决临沂六村车辆管理、铭城园小区加装电梯等居民“急难愁”问题。完成银亿滨江业主大会筹建和临沂六村等7个小区业委会换届改选；聘请第三方咨询公司向业委会提供业主大会组建、物业选聘、维修资金使用等小区事务方面的咨询服务，全年共接待咨询</w:t>
      </w:r>
      <w:r>
        <w:rPr>
          <w:rFonts w:hint="eastAsia" w:ascii="幼圆" w:hAnsi="幼圆" w:eastAsia="幼圆" w:cs="幼圆"/>
          <w:sz w:val="32"/>
          <w:szCs w:val="32"/>
          <w:lang w:val="en-US" w:eastAsia="zh-CN"/>
        </w:rPr>
        <w:t>370</w:t>
      </w:r>
      <w:r>
        <w:rPr>
          <w:rFonts w:hint="eastAsia" w:ascii="仿宋_GB2312" w:hAnsi="仿宋_GB2312" w:eastAsia="仿宋_GB2312" w:cs="仿宋_GB2312"/>
          <w:sz w:val="32"/>
          <w:szCs w:val="32"/>
          <w:lang w:val="en-US" w:eastAsia="zh-CN"/>
        </w:rPr>
        <w:t>人次。把好业委会人选关，鼓励符合条件的居委会成员及社工通过合法程序选入业委会，兼任业委会成员；开展业委会培训，重点对新换届业委会委员进行岗前培训。</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社区共治圈持续扩展。</w:t>
      </w:r>
      <w:r>
        <w:rPr>
          <w:rFonts w:hint="eastAsia" w:ascii="仿宋_GB2312" w:hAnsi="仿宋_GB2312" w:eastAsia="仿宋_GB2312" w:cs="仿宋_GB2312"/>
          <w:sz w:val="32"/>
          <w:szCs w:val="32"/>
          <w:lang w:val="en-US" w:eastAsia="zh-CN"/>
        </w:rPr>
        <w:t>通过公益捐赠、优秀“自治金”项目表彰、社会组织展示、自治成果展示等项目，实现企业、社会组织、社区联动，形成社区各方力量融合汇聚的平台。社会组织服务中心不断完善自身规范化建设，成功创建4A级社会组织。以“南风‘益’路行——‘家门口’的公益社区”为主题，开展涉及社区治理、为老服务、亲子活动、邻里关系等</w:t>
      </w:r>
      <w:r>
        <w:rPr>
          <w:rFonts w:hint="eastAsia" w:ascii="幼圆" w:hAnsi="幼圆" w:eastAsia="幼圆" w:cs="幼圆"/>
          <w:sz w:val="32"/>
          <w:szCs w:val="32"/>
          <w:lang w:val="en-US" w:eastAsia="zh-CN"/>
        </w:rPr>
        <w:t>40</w:t>
      </w:r>
      <w:r>
        <w:rPr>
          <w:rFonts w:hint="eastAsia" w:ascii="仿宋_GB2312" w:hAnsi="仿宋_GB2312" w:eastAsia="仿宋_GB2312" w:cs="仿宋_GB2312"/>
          <w:sz w:val="32"/>
          <w:szCs w:val="32"/>
          <w:lang w:val="en-US" w:eastAsia="zh-CN"/>
        </w:rPr>
        <w:t>余项子活动，参加、受益人数达</w:t>
      </w:r>
      <w:r>
        <w:rPr>
          <w:rFonts w:hint="eastAsia" w:ascii="幼圆" w:hAnsi="幼圆" w:eastAsia="幼圆" w:cs="幼圆"/>
          <w:sz w:val="32"/>
          <w:szCs w:val="32"/>
          <w:lang w:val="en-US" w:eastAsia="zh-CN"/>
        </w:rPr>
        <w:t>5000</w:t>
      </w:r>
      <w:r>
        <w:rPr>
          <w:rFonts w:hint="eastAsia" w:ascii="仿宋_GB2312" w:hAnsi="仿宋_GB2312" w:eastAsia="仿宋_GB2312" w:cs="仿宋_GB2312"/>
          <w:sz w:val="32"/>
          <w:szCs w:val="32"/>
          <w:lang w:val="en-US" w:eastAsia="zh-CN"/>
        </w:rPr>
        <w:t>余人次。“师生浓浓爱——教师节公益活动”荣获浦东新区民政局授予“最具特色公益活动”。</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（五）同频共振，文化传播维度持续拓展</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文明和谐软实力有进步。</w:t>
      </w:r>
      <w:r>
        <w:rPr>
          <w:rFonts w:hint="eastAsia" w:ascii="仿宋_GB2312" w:hAnsi="仿宋_GB2312" w:eastAsia="仿宋_GB2312" w:cs="仿宋_GB2312"/>
          <w:sz w:val="32"/>
          <w:szCs w:val="32"/>
          <w:lang w:val="en-US" w:eastAsia="zh-CN"/>
        </w:rPr>
        <w:t>围绕国庆70周年、进博会等重要时间节点，“一城三指”</w:t>
      </w:r>
      <w:r>
        <w:rPr>
          <w:rFonts w:hint="eastAsia" w:ascii="仿宋_GB2312" w:hAnsi="仿宋_GB2312" w:eastAsia="仿宋_GB2312" w:cs="仿宋_GB2312"/>
          <w:sz w:val="32"/>
          <w:szCs w:val="32"/>
          <w:vertAlign w:val="superscript"/>
          <w:lang w:val="en-US" w:eastAsia="zh-CN"/>
        </w:rPr>
        <w:t>9</w:t>
      </w:r>
      <w:r>
        <w:rPr>
          <w:rFonts w:hint="eastAsia" w:ascii="仿宋_GB2312" w:hAnsi="仿宋_GB2312" w:eastAsia="仿宋_GB2312" w:cs="仿宋_GB2312"/>
          <w:sz w:val="32"/>
          <w:szCs w:val="32"/>
          <w:lang w:val="en-US" w:eastAsia="zh-CN"/>
        </w:rPr>
        <w:t>等各级文明创建工作，统筹好各类宣传阵地的氛围布置，加强关于街道重点工作的集中宣传。针对性地开展各具特色的市民修身、一居一品、文化体育等活动；完成2019-2020年文明单位、文明小区申报工作；扎实推进2019年度文明示范楼组创建活动，提升居民自主申报和创建的积极性。加强志愿服务体系建设，推广志愿服务先进经验；加强国庆及进博会志愿服务；开展“老少同乐”、“三五学雷锋”、垃圾分类品牌志愿服务。</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媒体矩阵新平台有提升。</w:t>
      </w:r>
      <w:r>
        <w:rPr>
          <w:rFonts w:hint="eastAsia" w:ascii="仿宋_GB2312" w:hAnsi="仿宋_GB2312" w:eastAsia="仿宋_GB2312" w:cs="仿宋_GB2312"/>
          <w:sz w:val="32"/>
          <w:szCs w:val="32"/>
          <w:lang w:val="en-US" w:eastAsia="zh-CN"/>
        </w:rPr>
        <w:t>进行积极主动的舆论引导，报纸、网络、微信、微博多元联动，积极发挥媒体宣传作用。《南风报》共出刊</w:t>
      </w:r>
      <w:r>
        <w:rPr>
          <w:rFonts w:hint="eastAsia" w:ascii="幼圆" w:hAnsi="幼圆" w:eastAsia="幼圆" w:cs="幼圆"/>
          <w:sz w:val="32"/>
          <w:szCs w:val="32"/>
          <w:lang w:val="en-US" w:eastAsia="zh-CN"/>
        </w:rPr>
        <w:t>22</w:t>
      </w:r>
      <w:r>
        <w:rPr>
          <w:rFonts w:hint="eastAsia" w:ascii="仿宋_GB2312" w:hAnsi="仿宋_GB2312" w:eastAsia="仿宋_GB2312" w:cs="仿宋_GB2312"/>
          <w:sz w:val="32"/>
          <w:szCs w:val="32"/>
          <w:lang w:val="en-US" w:eastAsia="zh-CN"/>
        </w:rPr>
        <w:t>期，各类通讯报道近</w:t>
      </w:r>
      <w:r>
        <w:rPr>
          <w:rFonts w:hint="eastAsia" w:ascii="幼圆" w:hAnsi="幼圆" w:eastAsia="幼圆" w:cs="幼圆"/>
          <w:sz w:val="32"/>
          <w:szCs w:val="32"/>
          <w:lang w:val="en-US" w:eastAsia="zh-CN"/>
        </w:rPr>
        <w:t>1100</w:t>
      </w:r>
      <w:r>
        <w:rPr>
          <w:rFonts w:hint="eastAsia" w:ascii="仿宋_GB2312" w:hAnsi="仿宋_GB2312" w:eastAsia="仿宋_GB2312" w:cs="仿宋_GB2312"/>
          <w:sz w:val="32"/>
          <w:szCs w:val="32"/>
          <w:lang w:val="en-US" w:eastAsia="zh-CN"/>
        </w:rPr>
        <w:t>篇；浦东南码头微信公众号推送信息</w:t>
      </w:r>
      <w:r>
        <w:rPr>
          <w:rFonts w:hint="eastAsia" w:ascii="幼圆" w:hAnsi="幼圆" w:eastAsia="幼圆" w:cs="幼圆"/>
          <w:sz w:val="32"/>
          <w:szCs w:val="32"/>
          <w:lang w:val="en-US" w:eastAsia="zh-CN"/>
        </w:rPr>
        <w:t>612</w:t>
      </w:r>
      <w:r>
        <w:rPr>
          <w:rFonts w:hint="eastAsia" w:ascii="仿宋_GB2312" w:hAnsi="仿宋_GB2312" w:eastAsia="仿宋_GB2312" w:cs="仿宋_GB2312"/>
          <w:sz w:val="32"/>
          <w:szCs w:val="32"/>
          <w:lang w:val="en-US" w:eastAsia="zh-CN"/>
        </w:rPr>
        <w:t>条，主题活动视频</w:t>
      </w:r>
      <w:r>
        <w:rPr>
          <w:rFonts w:hint="eastAsia" w:ascii="幼圆" w:hAnsi="幼圆" w:eastAsia="幼圆" w:cs="幼圆"/>
          <w:sz w:val="32"/>
          <w:szCs w:val="32"/>
          <w:lang w:val="en-US" w:eastAsia="zh-CN"/>
        </w:rPr>
        <w:t>11</w:t>
      </w:r>
      <w:r>
        <w:rPr>
          <w:rFonts w:hint="eastAsia" w:ascii="仿宋_GB2312" w:hAnsi="仿宋_GB2312" w:eastAsia="仿宋_GB2312" w:cs="仿宋_GB2312"/>
          <w:sz w:val="32"/>
          <w:szCs w:val="32"/>
          <w:lang w:val="en-US" w:eastAsia="zh-CN"/>
        </w:rPr>
        <w:t>条，开展互动活动</w:t>
      </w:r>
      <w:r>
        <w:rPr>
          <w:rFonts w:hint="eastAsia" w:ascii="幼圆" w:hAnsi="幼圆" w:eastAsia="幼圆" w:cs="幼圆"/>
          <w:sz w:val="32"/>
          <w:szCs w:val="32"/>
          <w:lang w:val="en-US" w:eastAsia="zh-CN"/>
        </w:rPr>
        <w:t>13</w:t>
      </w:r>
      <w:r>
        <w:rPr>
          <w:rFonts w:hint="eastAsia" w:ascii="仿宋_GB2312" w:hAnsi="仿宋_GB2312" w:eastAsia="仿宋_GB2312" w:cs="仿宋_GB2312"/>
          <w:sz w:val="32"/>
          <w:szCs w:val="32"/>
          <w:lang w:val="en-US" w:eastAsia="zh-CN"/>
        </w:rPr>
        <w:t>次、线上报名</w:t>
      </w:r>
      <w:r>
        <w:rPr>
          <w:rFonts w:hint="eastAsia" w:ascii="幼圆" w:hAnsi="幼圆" w:eastAsia="幼圆" w:cs="幼圆"/>
          <w:sz w:val="32"/>
          <w:szCs w:val="32"/>
          <w:lang w:val="en-US" w:eastAsia="zh-CN"/>
        </w:rPr>
        <w:t>11</w:t>
      </w:r>
      <w:r>
        <w:rPr>
          <w:rFonts w:hint="eastAsia" w:ascii="仿宋_GB2312" w:hAnsi="仿宋_GB2312" w:eastAsia="仿宋_GB2312" w:cs="仿宋_GB2312"/>
          <w:sz w:val="32"/>
          <w:szCs w:val="32"/>
          <w:lang w:val="en-US" w:eastAsia="zh-CN"/>
        </w:rPr>
        <w:t>次、掌上微展览</w:t>
      </w:r>
      <w:r>
        <w:rPr>
          <w:rFonts w:hint="eastAsia" w:ascii="幼圆" w:hAnsi="幼圆" w:eastAsia="幼圆" w:cs="幼圆"/>
          <w:sz w:val="32"/>
          <w:szCs w:val="32"/>
          <w:lang w:val="en-US" w:eastAsia="zh-CN"/>
        </w:rPr>
        <w:t>4</w:t>
      </w:r>
      <w:r>
        <w:rPr>
          <w:rFonts w:hint="eastAsia" w:ascii="仿宋_GB2312" w:hAnsi="仿宋_GB2312" w:eastAsia="仿宋_GB2312" w:cs="仿宋_GB2312"/>
          <w:sz w:val="32"/>
          <w:szCs w:val="32"/>
          <w:lang w:val="en-US" w:eastAsia="zh-CN"/>
        </w:rPr>
        <w:t>次；政务微博共发布、转载信息</w:t>
      </w:r>
      <w:r>
        <w:rPr>
          <w:rFonts w:hint="eastAsia" w:ascii="幼圆" w:hAnsi="幼圆" w:eastAsia="幼圆" w:cs="幼圆"/>
          <w:sz w:val="32"/>
          <w:szCs w:val="32"/>
          <w:lang w:val="en-US" w:eastAsia="zh-CN"/>
        </w:rPr>
        <w:t>441</w:t>
      </w:r>
      <w:r>
        <w:rPr>
          <w:rFonts w:hint="eastAsia" w:ascii="仿宋_GB2312" w:hAnsi="仿宋_GB2312" w:eastAsia="仿宋_GB2312" w:cs="仿宋_GB2312"/>
          <w:sz w:val="32"/>
          <w:szCs w:val="32"/>
          <w:lang w:val="en-US" w:eastAsia="zh-CN"/>
        </w:rPr>
        <w:t>条。加强与浦东时报、浦东电视台各大媒体的沟通和联系，市、区级媒体发布南码头新闻报道</w:t>
      </w:r>
      <w:r>
        <w:rPr>
          <w:rFonts w:hint="eastAsia" w:ascii="幼圆" w:hAnsi="幼圆" w:eastAsia="幼圆" w:cs="幼圆"/>
          <w:sz w:val="32"/>
          <w:szCs w:val="32"/>
          <w:lang w:val="en-US" w:eastAsia="zh-CN"/>
        </w:rPr>
        <w:t>160</w:t>
      </w:r>
      <w:r>
        <w:rPr>
          <w:rFonts w:hint="eastAsia" w:ascii="仿宋_GB2312" w:hAnsi="仿宋_GB2312" w:eastAsia="仿宋_GB2312" w:cs="仿宋_GB2312"/>
          <w:sz w:val="32"/>
          <w:szCs w:val="32"/>
          <w:lang w:val="en-US" w:eastAsia="zh-CN"/>
        </w:rPr>
        <w:t>余条，其中新民晚报、新闻坊、文汇报等市级报道</w:t>
      </w:r>
      <w:r>
        <w:rPr>
          <w:rFonts w:hint="eastAsia" w:ascii="幼圆" w:hAnsi="幼圆" w:eastAsia="幼圆" w:cs="幼圆"/>
          <w:sz w:val="32"/>
          <w:szCs w:val="32"/>
          <w:lang w:val="en-US" w:eastAsia="zh-CN"/>
        </w:rPr>
        <w:t>28</w:t>
      </w:r>
      <w:r>
        <w:rPr>
          <w:rFonts w:hint="eastAsia" w:ascii="仿宋_GB2312" w:hAnsi="仿宋_GB2312" w:eastAsia="仿宋_GB2312" w:cs="仿宋_GB2312"/>
          <w:sz w:val="32"/>
          <w:szCs w:val="32"/>
          <w:lang w:val="en-US" w:eastAsia="zh-CN"/>
        </w:rPr>
        <w:t>条。</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文化体育生活更丰富。</w:t>
      </w:r>
      <w:r>
        <w:rPr>
          <w:rFonts w:hint="eastAsia" w:ascii="仿宋_GB2312" w:hAnsi="仿宋_GB2312" w:eastAsia="仿宋_GB2312" w:cs="仿宋_GB2312"/>
          <w:sz w:val="32"/>
          <w:szCs w:val="32"/>
          <w:lang w:val="en-US" w:eastAsia="zh-CN"/>
        </w:rPr>
        <w:t>社区文化中心好戏连台，全年开展主题电影活动</w:t>
      </w:r>
      <w:r>
        <w:rPr>
          <w:rFonts w:hint="eastAsia" w:ascii="幼圆" w:hAnsi="幼圆" w:eastAsia="幼圆" w:cs="幼圆"/>
          <w:sz w:val="32"/>
          <w:szCs w:val="32"/>
          <w:lang w:val="en-US" w:eastAsia="zh-CN"/>
        </w:rPr>
        <w:t>10</w:t>
      </w:r>
      <w:r>
        <w:rPr>
          <w:rFonts w:hint="eastAsia" w:ascii="仿宋_GB2312" w:hAnsi="仿宋_GB2312" w:eastAsia="仿宋_GB2312" w:cs="仿宋_GB2312"/>
          <w:sz w:val="32"/>
          <w:szCs w:val="32"/>
          <w:lang w:val="en-US" w:eastAsia="zh-CN"/>
        </w:rPr>
        <w:t>项，放映电影250场；剧场演出</w:t>
      </w:r>
      <w:r>
        <w:rPr>
          <w:rFonts w:hint="eastAsia" w:ascii="幼圆" w:hAnsi="幼圆" w:eastAsia="幼圆" w:cs="幼圆"/>
          <w:sz w:val="32"/>
          <w:szCs w:val="32"/>
          <w:lang w:val="en-US" w:eastAsia="zh-CN"/>
        </w:rPr>
        <w:t>60</w:t>
      </w:r>
      <w:r>
        <w:rPr>
          <w:rFonts w:hint="eastAsia" w:ascii="仿宋_GB2312" w:hAnsi="仿宋_GB2312" w:eastAsia="仿宋_GB2312" w:cs="仿宋_GB2312"/>
          <w:sz w:val="32"/>
          <w:szCs w:val="32"/>
          <w:lang w:val="en-US" w:eastAsia="zh-CN"/>
        </w:rPr>
        <w:t>场，举办主题展览</w:t>
      </w:r>
      <w:r>
        <w:rPr>
          <w:rFonts w:hint="eastAsia" w:ascii="幼圆" w:hAnsi="幼圆" w:eastAsia="幼圆" w:cs="幼圆"/>
          <w:sz w:val="32"/>
          <w:szCs w:val="32"/>
          <w:lang w:val="en-US" w:eastAsia="zh-CN"/>
        </w:rPr>
        <w:t>23</w:t>
      </w:r>
      <w:r>
        <w:rPr>
          <w:rFonts w:hint="eastAsia" w:ascii="仿宋_GB2312" w:hAnsi="仿宋_GB2312" w:eastAsia="仿宋_GB2312" w:cs="仿宋_GB2312"/>
          <w:sz w:val="32"/>
          <w:szCs w:val="32"/>
          <w:lang w:val="en-US" w:eastAsia="zh-CN"/>
        </w:rPr>
        <w:t>场，“家门口”文化配送共</w:t>
      </w:r>
      <w:r>
        <w:rPr>
          <w:rFonts w:hint="eastAsia" w:ascii="幼圆" w:hAnsi="幼圆" w:eastAsia="幼圆" w:cs="幼圆"/>
          <w:sz w:val="32"/>
          <w:szCs w:val="32"/>
          <w:lang w:val="en-US" w:eastAsia="zh-CN"/>
        </w:rPr>
        <w:t>95</w:t>
      </w:r>
      <w:r>
        <w:rPr>
          <w:rFonts w:hint="eastAsia" w:ascii="仿宋_GB2312" w:hAnsi="仿宋_GB2312" w:eastAsia="仿宋_GB2312" w:cs="仿宋_GB2312"/>
          <w:sz w:val="32"/>
          <w:szCs w:val="32"/>
          <w:lang w:val="en-US" w:eastAsia="zh-CN"/>
        </w:rPr>
        <w:t>场次；文化中心全年接待约41万人次。举办“申情申音”颂中华系列沪语活动；开展“南风雅韵”“南风音韵”“南风舞韵”等特色文化品牌系列活动；开放南码头历史陈列馆；有序推进六里文化分中心建设工作。举办街道第三届社区体育节活动暨“绿动码头·发现码头城市之美”城市定向赛；组织街道太极拳、乒乓球、广场舞等比赛；推动“流动科技馆”进社区；组织居民参观第六届上海科博会及上海生活垃圾科普展示馆。社区学校共开设成人</w:t>
      </w:r>
      <w:r>
        <w:rPr>
          <w:rFonts w:hint="eastAsia" w:ascii="幼圆" w:hAnsi="幼圆" w:eastAsia="幼圆" w:cs="幼圆"/>
          <w:sz w:val="32"/>
          <w:szCs w:val="32"/>
          <w:lang w:val="en-US" w:eastAsia="zh-CN"/>
        </w:rPr>
        <w:t>9</w:t>
      </w:r>
      <w:r>
        <w:rPr>
          <w:rFonts w:hint="eastAsia" w:ascii="仿宋_GB2312" w:hAnsi="仿宋_GB2312" w:eastAsia="仿宋_GB2312" w:cs="仿宋_GB2312"/>
          <w:sz w:val="32"/>
          <w:szCs w:val="32"/>
          <w:lang w:val="en-US" w:eastAsia="zh-CN"/>
        </w:rPr>
        <w:t>大类</w:t>
      </w:r>
      <w:r>
        <w:rPr>
          <w:rFonts w:hint="eastAsia" w:ascii="幼圆" w:hAnsi="幼圆" w:eastAsia="幼圆" w:cs="幼圆"/>
          <w:sz w:val="32"/>
          <w:szCs w:val="32"/>
          <w:lang w:val="en-US" w:eastAsia="zh-CN"/>
        </w:rPr>
        <w:t>107</w:t>
      </w:r>
      <w:r>
        <w:rPr>
          <w:rFonts w:hint="eastAsia" w:ascii="仿宋_GB2312" w:hAnsi="仿宋_GB2312" w:eastAsia="仿宋_GB2312" w:cs="仿宋_GB2312"/>
          <w:sz w:val="32"/>
          <w:szCs w:val="32"/>
          <w:lang w:val="en-US" w:eastAsia="zh-CN"/>
        </w:rPr>
        <w:t>个班级，少儿</w:t>
      </w:r>
      <w:r>
        <w:rPr>
          <w:rFonts w:hint="eastAsia" w:ascii="幼圆" w:hAnsi="幼圆" w:eastAsia="幼圆" w:cs="幼圆"/>
          <w:sz w:val="32"/>
          <w:szCs w:val="32"/>
          <w:lang w:val="en-US" w:eastAsia="zh-CN"/>
        </w:rPr>
        <w:t>7</w:t>
      </w:r>
      <w:r>
        <w:rPr>
          <w:rFonts w:hint="eastAsia" w:ascii="仿宋_GB2312" w:hAnsi="仿宋_GB2312" w:eastAsia="仿宋_GB2312" w:cs="仿宋_GB2312"/>
          <w:sz w:val="32"/>
          <w:szCs w:val="32"/>
          <w:lang w:val="en-US" w:eastAsia="zh-CN"/>
        </w:rPr>
        <w:t>大类别</w:t>
      </w:r>
      <w:r>
        <w:rPr>
          <w:rFonts w:hint="eastAsia" w:ascii="幼圆" w:hAnsi="幼圆" w:eastAsia="幼圆" w:cs="幼圆"/>
          <w:sz w:val="32"/>
          <w:szCs w:val="32"/>
          <w:lang w:val="en-US" w:eastAsia="zh-CN"/>
        </w:rPr>
        <w:t>65</w:t>
      </w:r>
      <w:r>
        <w:rPr>
          <w:rFonts w:hint="eastAsia" w:ascii="仿宋_GB2312" w:hAnsi="仿宋_GB2312" w:eastAsia="仿宋_GB2312" w:cs="仿宋_GB2312"/>
          <w:sz w:val="32"/>
          <w:szCs w:val="32"/>
          <w:lang w:val="en-US" w:eastAsia="zh-CN"/>
        </w:rPr>
        <w:t>个班级，共招生</w:t>
      </w:r>
      <w:r>
        <w:rPr>
          <w:rFonts w:hint="eastAsia" w:ascii="幼圆" w:hAnsi="幼圆" w:eastAsia="幼圆" w:cs="幼圆"/>
          <w:sz w:val="32"/>
          <w:szCs w:val="32"/>
          <w:lang w:val="en-US" w:eastAsia="zh-CN"/>
        </w:rPr>
        <w:t>4200</w:t>
      </w:r>
      <w:r>
        <w:rPr>
          <w:rFonts w:hint="eastAsia" w:ascii="仿宋_GB2312" w:hAnsi="仿宋_GB2312" w:eastAsia="仿宋_GB2312" w:cs="仿宋_GB2312"/>
          <w:sz w:val="32"/>
          <w:szCs w:val="32"/>
          <w:lang w:val="en-US" w:eastAsia="zh-CN"/>
        </w:rPr>
        <w:t>余人。创建各居村标准化市区级学习点，抓好市级星级学习型团队建设。开展社区校园共建，为辖区</w:t>
      </w:r>
      <w:r>
        <w:rPr>
          <w:rFonts w:hint="eastAsia" w:ascii="幼圆" w:hAnsi="幼圆" w:eastAsia="幼圆" w:cs="幼圆"/>
          <w:sz w:val="32"/>
          <w:szCs w:val="32"/>
          <w:lang w:val="en-US" w:eastAsia="zh-CN"/>
        </w:rPr>
        <w:t>7</w:t>
      </w:r>
      <w:r>
        <w:rPr>
          <w:rFonts w:hint="eastAsia" w:ascii="仿宋_GB2312" w:hAnsi="仿宋_GB2312" w:eastAsia="仿宋_GB2312" w:cs="仿宋_GB2312"/>
          <w:sz w:val="32"/>
          <w:szCs w:val="32"/>
          <w:lang w:val="en-US" w:eastAsia="zh-CN"/>
        </w:rPr>
        <w:t>所学校配送沪剧、篆刻、书法等</w:t>
      </w:r>
      <w:r>
        <w:rPr>
          <w:rFonts w:hint="eastAsia" w:ascii="幼圆" w:hAnsi="幼圆" w:eastAsia="幼圆" w:cs="幼圆"/>
          <w:sz w:val="32"/>
          <w:szCs w:val="32"/>
          <w:lang w:val="en-US" w:eastAsia="zh-CN"/>
        </w:rPr>
        <w:t>9</w:t>
      </w:r>
      <w:r>
        <w:rPr>
          <w:rFonts w:hint="eastAsia" w:ascii="仿宋_GB2312" w:hAnsi="仿宋_GB2312" w:eastAsia="仿宋_GB2312" w:cs="仿宋_GB2312"/>
          <w:sz w:val="32"/>
          <w:szCs w:val="32"/>
          <w:lang w:val="en-US" w:eastAsia="zh-CN"/>
        </w:rPr>
        <w:t>门特色课程。</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lang w:val="en-US" w:eastAsia="zh-CN"/>
        </w:rPr>
        <w:t>（六）实干担当，政府建设持续加强</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en-US" w:eastAsia="zh-CN"/>
        </w:rPr>
        <w:t>扎实推进法治政府建设。</w:t>
      </w:r>
      <w:r>
        <w:rPr>
          <w:rFonts w:hint="eastAsia" w:ascii="仿宋_GB2312" w:hAnsi="仿宋_GB2312" w:eastAsia="仿宋_GB2312" w:cs="仿宋_GB2312"/>
          <w:sz w:val="32"/>
          <w:szCs w:val="32"/>
          <w:lang w:val="en-US" w:eastAsia="zh-CN"/>
        </w:rPr>
        <w:t>修订了《南码头路街道政府信息公开指南》《南码头路街道政府信息公开制度》等文件，进一步规范公开属性的审批流程，扩大政府信息公开面。全年公开政府信息</w:t>
      </w:r>
      <w:r>
        <w:rPr>
          <w:rFonts w:hint="eastAsia" w:ascii="幼圆" w:hAnsi="幼圆" w:eastAsia="幼圆" w:cs="幼圆"/>
          <w:sz w:val="32"/>
          <w:szCs w:val="32"/>
          <w:lang w:val="en-US" w:eastAsia="zh-CN"/>
        </w:rPr>
        <w:t>79</w:t>
      </w:r>
      <w:r>
        <w:rPr>
          <w:rFonts w:hint="eastAsia" w:ascii="仿宋_GB2312" w:hAnsi="仿宋_GB2312" w:eastAsia="仿宋_GB2312" w:cs="仿宋_GB2312"/>
          <w:sz w:val="32"/>
          <w:szCs w:val="32"/>
          <w:lang w:val="en-US" w:eastAsia="zh-CN"/>
        </w:rPr>
        <w:t>件，其中主动公开</w:t>
      </w:r>
      <w:r>
        <w:rPr>
          <w:rFonts w:hint="eastAsia" w:ascii="幼圆" w:hAnsi="幼圆" w:eastAsia="幼圆" w:cs="幼圆"/>
          <w:sz w:val="32"/>
          <w:szCs w:val="32"/>
          <w:lang w:val="en-US" w:eastAsia="zh-CN"/>
        </w:rPr>
        <w:t>67</w:t>
      </w:r>
      <w:r>
        <w:rPr>
          <w:rFonts w:hint="eastAsia" w:ascii="仿宋_GB2312" w:hAnsi="仿宋_GB2312" w:eastAsia="仿宋_GB2312" w:cs="仿宋_GB2312"/>
          <w:sz w:val="32"/>
          <w:szCs w:val="32"/>
          <w:lang w:val="en-US" w:eastAsia="zh-CN"/>
        </w:rPr>
        <w:t xml:space="preserve">件，主动公开率 </w:t>
      </w:r>
      <w:r>
        <w:rPr>
          <w:rFonts w:hint="eastAsia" w:ascii="幼圆" w:hAnsi="幼圆" w:eastAsia="幼圆" w:cs="幼圆"/>
          <w:sz w:val="32"/>
          <w:szCs w:val="32"/>
          <w:lang w:val="en-US" w:eastAsia="zh-CN"/>
        </w:rPr>
        <w:t>84.81</w:t>
      </w:r>
      <w:r>
        <w:rPr>
          <w:rFonts w:hint="eastAsia" w:ascii="仿宋_GB2312" w:hAnsi="仿宋_GB2312" w:eastAsia="仿宋_GB2312" w:cs="仿宋_GB2312"/>
          <w:sz w:val="32"/>
          <w:szCs w:val="32"/>
          <w:lang w:val="en-US" w:eastAsia="zh-CN"/>
        </w:rPr>
        <w:t>%；办理信息公开申请</w:t>
      </w:r>
      <w:r>
        <w:rPr>
          <w:rFonts w:hint="eastAsia" w:ascii="幼圆" w:hAnsi="幼圆" w:eastAsia="幼圆" w:cs="幼圆"/>
          <w:sz w:val="32"/>
          <w:szCs w:val="32"/>
          <w:lang w:val="en-US" w:eastAsia="zh-CN"/>
        </w:rPr>
        <w:t>3</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lang w:val="zh-CN" w:eastAsia="zh-CN"/>
        </w:rPr>
        <w:t>严格执行《行政监察法》《公务员法》等法律法规以及《</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"http://tztg.pudong.sh/showNotify.aspx?id=1203"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zh-CN" w:eastAsia="zh-CN"/>
        </w:rPr>
        <w:t>南码头（社区）街道机关督查工作制度</w:t>
      </w:r>
      <w:r>
        <w:rPr>
          <w:rFonts w:hint="eastAsia" w:ascii="仿宋_GB2312" w:hAnsi="仿宋_GB2312" w:eastAsia="仿宋_GB2312" w:cs="仿宋_GB2312"/>
          <w:sz w:val="32"/>
          <w:szCs w:val="32"/>
          <w:lang w:val="zh-CN" w:eastAsia="zh-CN"/>
        </w:rPr>
        <w:fldChar w:fldCharType="end"/>
      </w:r>
      <w:r>
        <w:rPr>
          <w:rFonts w:hint="eastAsia" w:ascii="仿宋_GB2312" w:hAnsi="仿宋_GB2312" w:eastAsia="仿宋_GB2312" w:cs="仿宋_GB2312"/>
          <w:sz w:val="32"/>
          <w:szCs w:val="32"/>
          <w:lang w:val="zh-CN" w:eastAsia="zh-CN"/>
        </w:rPr>
        <w:t>》等内部管理制度，坚持有错必纠、有责必问。通过人大代表、党代表、市民巡访团巡查暗访等形式，督促和约束工作人员严格依法行使权力、履行职责。</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扎实营造风清气正的工作环境。</w:t>
      </w:r>
      <w:r>
        <w:rPr>
          <w:rFonts w:hint="eastAsia" w:ascii="仿宋_GB2312" w:hAnsi="仿宋_GB2312" w:eastAsia="仿宋_GB2312" w:cs="仿宋_GB2312"/>
          <w:sz w:val="32"/>
          <w:szCs w:val="32"/>
          <w:lang w:val="zh-CN" w:eastAsia="zh-CN"/>
        </w:rPr>
        <w:t>在党工委的领导下，认真落实全面从严治党“四责协同”</w:t>
      </w:r>
      <w:r>
        <w:rPr>
          <w:rFonts w:hint="eastAsia" w:ascii="仿宋_GB2312" w:hAnsi="仿宋_GB2312" w:eastAsia="仿宋_GB2312" w:cs="仿宋_GB2312"/>
          <w:sz w:val="32"/>
          <w:szCs w:val="32"/>
          <w:vertAlign w:val="superscript"/>
          <w:lang w:val="en-US" w:eastAsia="zh-CN"/>
        </w:rPr>
        <w:t>10</w:t>
      </w:r>
      <w:r>
        <w:rPr>
          <w:rFonts w:hint="eastAsia" w:ascii="仿宋_GB2312" w:hAnsi="仿宋_GB2312" w:eastAsia="仿宋_GB2312" w:cs="仿宋_GB2312"/>
          <w:sz w:val="32"/>
          <w:szCs w:val="32"/>
          <w:lang w:val="zh-CN" w:eastAsia="zh-CN"/>
        </w:rPr>
        <w:t>机制，</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lang w:val="zh-CN" w:eastAsia="zh-CN"/>
        </w:rPr>
        <w:t>落实中央八项规定精神和市、区有关具体要求，厉行勤俭节约，严禁铺张浪费，班子领导以身作则、以上率下。严格遵守“三重一大”议事规则，建立健全街道内控体系，从严控制“三公”经费，</w:t>
      </w:r>
      <w:r>
        <w:rPr>
          <w:rFonts w:hint="eastAsia" w:ascii="仿宋_GB2312" w:hAnsi="仿宋_GB2312" w:eastAsia="仿宋_GB2312" w:cs="仿宋_GB2312"/>
          <w:sz w:val="32"/>
          <w:szCs w:val="32"/>
          <w:lang w:val="en-US" w:eastAsia="zh-CN"/>
        </w:rPr>
        <w:t>提高集体资产集约利用率，</w:t>
      </w:r>
      <w:r>
        <w:rPr>
          <w:rFonts w:hint="eastAsia" w:ascii="仿宋_GB2312" w:hAnsi="仿宋_GB2312" w:eastAsia="仿宋_GB2312" w:cs="仿宋_GB2312"/>
          <w:sz w:val="32"/>
          <w:szCs w:val="32"/>
          <w:lang w:val="zh-CN" w:eastAsia="zh-CN"/>
        </w:rPr>
        <w:t>接受区委巡察组巡察并认真落实整改。</w:t>
      </w:r>
      <w:r>
        <w:rPr>
          <w:rFonts w:hint="eastAsia" w:ascii="仿宋_GB2312" w:hAnsi="仿宋_GB2312" w:eastAsia="仿宋_GB2312" w:cs="仿宋_GB2312"/>
          <w:sz w:val="32"/>
          <w:szCs w:val="32"/>
          <w:lang w:val="en-US" w:eastAsia="zh-CN"/>
        </w:rPr>
        <w:t>完成</w:t>
      </w:r>
      <w:r>
        <w:rPr>
          <w:rFonts w:hint="eastAsia" w:ascii="幼圆" w:hAnsi="幼圆" w:eastAsia="幼圆" w:cs="幼圆"/>
          <w:sz w:val="32"/>
          <w:szCs w:val="32"/>
          <w:lang w:val="en-US" w:eastAsia="zh-CN"/>
        </w:rPr>
        <w:t>34</w:t>
      </w:r>
      <w:r>
        <w:rPr>
          <w:rFonts w:hint="eastAsia" w:ascii="仿宋_GB2312" w:hAnsi="仿宋_GB2312" w:eastAsia="仿宋_GB2312" w:cs="仿宋_GB2312"/>
          <w:sz w:val="32"/>
          <w:szCs w:val="32"/>
          <w:lang w:val="en-US" w:eastAsia="zh-CN"/>
        </w:rPr>
        <w:t>个审计项目，有效强化审计监督。</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扎实推进高素质人才队伍建设。</w:t>
      </w:r>
      <w:r>
        <w:rPr>
          <w:rFonts w:hint="eastAsia" w:ascii="仿宋_GB2312" w:hAnsi="仿宋_GB2312" w:eastAsia="仿宋_GB2312" w:cs="仿宋_GB2312"/>
          <w:sz w:val="32"/>
          <w:szCs w:val="32"/>
          <w:lang w:val="en-US" w:eastAsia="zh-CN"/>
        </w:rPr>
        <w:t>密切联系基层，转变工作作风，机关干部认真开展大调研工作。搭建青年公务员成长成才平台，开展能力提升培训和专项调研活动，在“急难险重”岗位上成长，在实战中学习。做好居民区及直属单位后备力量培养工作，组织专题讲座、学员论坛、素质拓展、军营参观、军训等活动，从专业知识的积累到社区工作方法的运用进行全方面提升。</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各位代表，奋斗饱含艰辛，成绩凝聚汗水。一年来，我们凝心聚力、</w:t>
      </w:r>
      <w:r>
        <w:rPr>
          <w:rFonts w:hint="eastAsia" w:ascii="仿宋_GB2312" w:hAnsi="仿宋_GB2312" w:eastAsia="仿宋_GB2312" w:cs="仿宋_GB2312"/>
          <w:sz w:val="32"/>
          <w:szCs w:val="32"/>
          <w:lang w:val="en-US" w:eastAsia="zh-CN"/>
        </w:rPr>
        <w:t>克难求进</w:t>
      </w:r>
      <w:r>
        <w:rPr>
          <w:rFonts w:hint="eastAsia" w:ascii="仿宋_GB2312" w:hAnsi="仿宋_GB2312" w:eastAsia="仿宋_GB2312" w:cs="仿宋_GB2312"/>
          <w:sz w:val="32"/>
          <w:szCs w:val="32"/>
          <w:lang w:val="zh-CN" w:eastAsia="zh-CN"/>
        </w:rPr>
        <w:t>，各项事业迈上了新台阶。全年总计争取市、区两级资金</w:t>
      </w:r>
      <w:r>
        <w:rPr>
          <w:rFonts w:hint="eastAsia" w:ascii="幼圆" w:hAnsi="幼圆" w:eastAsia="幼圆" w:cs="幼圆"/>
          <w:sz w:val="32"/>
          <w:szCs w:val="32"/>
          <w:lang w:val="en-US" w:eastAsia="zh-CN"/>
        </w:rPr>
        <w:t>9326.44</w:t>
      </w:r>
      <w:r>
        <w:rPr>
          <w:rFonts w:hint="eastAsia" w:ascii="仿宋_GB2312" w:hAnsi="仿宋_GB2312" w:eastAsia="仿宋_GB2312" w:cs="仿宋_GB2312"/>
          <w:sz w:val="32"/>
          <w:szCs w:val="32"/>
          <w:lang w:val="zh-CN" w:eastAsia="zh-CN"/>
        </w:rPr>
        <w:t>万元，用于街道各项民生项目建设。街道荣获上海市“无违建”先进街镇、</w:t>
      </w:r>
      <w:r>
        <w:rPr>
          <w:rFonts w:hint="eastAsia" w:ascii="仿宋_GB2312" w:hAnsi="仿宋_GB2312" w:eastAsia="仿宋_GB2312" w:cs="仿宋_GB2312"/>
          <w:sz w:val="32"/>
          <w:szCs w:val="32"/>
          <w:lang w:val="en-US" w:eastAsia="zh-CN"/>
        </w:rPr>
        <w:t>上海市生活垃圾分类示范街镇荣誉称号；街道商会</w:t>
      </w:r>
      <w:r>
        <w:rPr>
          <w:rFonts w:hint="eastAsia" w:ascii="仿宋_GB2312" w:hAnsi="仿宋_GB2312" w:eastAsia="仿宋_GB2312" w:cs="仿宋_GB2312"/>
          <w:sz w:val="32"/>
          <w:szCs w:val="32"/>
          <w:lang w:val="zh-CN" w:eastAsia="zh-CN"/>
        </w:rPr>
        <w:t>荣获</w:t>
      </w:r>
      <w:r>
        <w:rPr>
          <w:rFonts w:hint="eastAsia" w:ascii="仿宋_GB2312" w:hAnsi="仿宋_GB2312" w:eastAsia="仿宋_GB2312" w:cs="仿宋_GB2312"/>
          <w:color w:val="000000"/>
          <w:kern w:val="0"/>
          <w:sz w:val="32"/>
          <w:szCs w:val="32"/>
          <w:lang w:val="en-US" w:eastAsia="zh-CN"/>
        </w:rPr>
        <w:t>2019</w:t>
      </w:r>
      <w:r>
        <w:rPr>
          <w:rFonts w:hint="eastAsia" w:ascii="仿宋_GB2312" w:hAnsi="仿宋_GB2312" w:eastAsia="仿宋_GB2312" w:cs="仿宋_GB2312"/>
          <w:color w:val="000000"/>
          <w:kern w:val="0"/>
          <w:sz w:val="32"/>
          <w:szCs w:val="32"/>
        </w:rPr>
        <w:t>年度上海市</w:t>
      </w:r>
      <w:r>
        <w:rPr>
          <w:rFonts w:hint="eastAsia" w:ascii="仿宋_GB2312" w:hAnsi="仿宋_GB2312" w:eastAsia="仿宋_GB2312" w:cs="仿宋_GB2312"/>
          <w:color w:val="000000"/>
          <w:kern w:val="0"/>
          <w:sz w:val="32"/>
          <w:szCs w:val="32"/>
          <w:lang w:eastAsia="zh-CN"/>
        </w:rPr>
        <w:t>工商联“</w:t>
      </w:r>
      <w:r>
        <w:rPr>
          <w:rFonts w:hint="eastAsia" w:ascii="仿宋_GB2312" w:hAnsi="仿宋_GB2312" w:eastAsia="仿宋_GB2312" w:cs="仿宋_GB2312"/>
          <w:color w:val="000000"/>
          <w:kern w:val="0"/>
          <w:sz w:val="32"/>
          <w:szCs w:val="32"/>
        </w:rPr>
        <w:t>四好商会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、2019年度浦东新区爱国拥军先进单位</w:t>
      </w:r>
      <w:r>
        <w:rPr>
          <w:rFonts w:hint="eastAsia" w:ascii="幼圆" w:hAnsi="幼圆" w:eastAsia="幼圆" w:cs="幼圆"/>
          <w:sz w:val="32"/>
          <w:szCs w:val="32"/>
          <w:lang w:val="en-US" w:eastAsia="zh-CN"/>
        </w:rPr>
        <w:t>；</w:t>
      </w:r>
      <w:r>
        <w:rPr>
          <w:rFonts w:hint="eastAsia" w:ascii="仿宋_GB2312" w:hAnsi="黑体" w:eastAsia="仿宋_GB2312"/>
          <w:sz w:val="32"/>
          <w:szCs w:val="32"/>
        </w:rPr>
        <w:t>“申情申音·颂中华”</w:t>
      </w:r>
      <w:r>
        <w:rPr>
          <w:rFonts w:hint="eastAsia" w:ascii="仿宋_GB2312" w:hAnsi="黑体" w:eastAsia="仿宋_GB2312"/>
          <w:sz w:val="32"/>
          <w:szCs w:val="32"/>
          <w:lang w:eastAsia="zh-CN"/>
        </w:rPr>
        <w:t>沪语活动</w:t>
      </w:r>
      <w:r>
        <w:rPr>
          <w:rFonts w:hint="eastAsia" w:ascii="仿宋_GB2312" w:hAnsi="黑体" w:eastAsia="仿宋_GB2312" w:cs="黑体"/>
          <w:sz w:val="32"/>
          <w:szCs w:val="32"/>
        </w:rPr>
        <w:t>荣获</w:t>
      </w:r>
      <w:r>
        <w:rPr>
          <w:rFonts w:hint="eastAsia" w:ascii="仿宋_GB2312" w:hAnsi="黑体" w:eastAsia="仿宋_GB2312"/>
          <w:sz w:val="32"/>
          <w:szCs w:val="32"/>
        </w:rPr>
        <w:t>2019年浦东新区未成年人暑期工作优秀活动项目一等奖</w:t>
      </w:r>
      <w:r>
        <w:rPr>
          <w:rFonts w:hint="eastAsia" w:ascii="幼圆" w:hAnsi="幼圆" w:eastAsia="幼圆" w:cs="幼圆"/>
          <w:sz w:val="32"/>
          <w:szCs w:val="32"/>
          <w:lang w:val="en-US" w:eastAsia="zh-CN"/>
        </w:rPr>
        <w:t>；</w:t>
      </w:r>
      <w:r>
        <w:rPr>
          <w:rFonts w:hint="eastAsia" w:ascii="仿宋_GB2312" w:hAnsi="仿宋_GB2312" w:eastAsia="仿宋_GB2312" w:cs="仿宋_GB2312"/>
          <w:color w:val="000000"/>
          <w:kern w:val="0"/>
          <w:sz w:val="32"/>
          <w:szCs w:val="32"/>
          <w:lang w:val="en-US" w:eastAsia="zh-CN"/>
        </w:rPr>
        <w:t>临沂二村荣获</w:t>
      </w:r>
      <w:r>
        <w:rPr>
          <w:rFonts w:hint="eastAsia" w:ascii="仿宋_GB2312" w:hAnsi="仿宋_GB2312" w:eastAsia="仿宋_GB2312" w:cs="仿宋_GB2312"/>
          <w:color w:val="000000"/>
          <w:kern w:val="0"/>
          <w:sz w:val="32"/>
          <w:szCs w:val="32"/>
        </w:rPr>
        <w:t>浦东</w:t>
      </w:r>
      <w:r>
        <w:rPr>
          <w:rFonts w:hint="eastAsia" w:ascii="仿宋_GB2312" w:hAnsi="黑体" w:eastAsia="仿宋_GB2312"/>
          <w:sz w:val="32"/>
          <w:szCs w:val="32"/>
        </w:rPr>
        <w:t>新区民主法治示范社区</w:t>
      </w:r>
      <w:r>
        <w:rPr>
          <w:rFonts w:hint="eastAsia" w:ascii="仿宋_GB2312" w:hAnsi="黑体" w:eastAsia="仿宋_GB2312"/>
          <w:sz w:val="32"/>
          <w:szCs w:val="32"/>
          <w:lang w:eastAsia="zh-CN"/>
        </w:rPr>
        <w:t>；</w:t>
      </w:r>
      <w:r>
        <w:rPr>
          <w:rFonts w:hint="eastAsia" w:ascii="仿宋_GB2312" w:hAnsi="仿宋_GB2312" w:eastAsia="仿宋_GB2312" w:cs="仿宋_GB2312"/>
          <w:color w:val="000000"/>
          <w:kern w:val="0"/>
          <w:sz w:val="32"/>
          <w:szCs w:val="32"/>
          <w:lang w:val="en-US" w:eastAsia="zh-CN"/>
        </w:rPr>
        <w:t>临沂八村二居民区“幽幽兰陵</w:t>
      </w:r>
      <w:r>
        <w:rPr>
          <w:rFonts w:hint="eastAsia" w:ascii="仿宋_GB2312" w:hAnsi="黑体" w:eastAsia="仿宋_GB2312"/>
          <w:sz w:val="32"/>
          <w:szCs w:val="32"/>
        </w:rPr>
        <w:t>·</w:t>
      </w:r>
      <w:r>
        <w:rPr>
          <w:rFonts w:hint="eastAsia" w:ascii="仿宋_GB2312" w:hAnsi="仿宋_GB2312" w:eastAsia="仿宋_GB2312" w:cs="仿宋_GB2312"/>
          <w:color w:val="000000"/>
          <w:kern w:val="0"/>
          <w:sz w:val="32"/>
          <w:szCs w:val="32"/>
          <w:lang w:val="en-US" w:eastAsia="zh-CN"/>
        </w:rPr>
        <w:t>芳馨八二”项目获评浦东新区示范自治项目</w:t>
      </w:r>
      <w:r>
        <w:rPr>
          <w:rFonts w:hint="eastAsia" w:ascii="仿宋_GB2312" w:hAnsi="仿宋_GB2312" w:eastAsia="仿宋_GB2312" w:cs="仿宋_GB2312"/>
          <w:sz w:val="32"/>
          <w:szCs w:val="32"/>
          <w:lang w:val="zh-CN" w:eastAsia="zh-CN"/>
        </w:rPr>
        <w:t>。过去一年的成绩来之不易，这是</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zh-CN" w:eastAsia="zh-CN"/>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zh-CN" w:eastAsia="zh-CN"/>
        </w:rPr>
        <w:t>政府以及街道党工委坚强领导、正确决策的结果，</w:t>
      </w:r>
      <w:r>
        <w:rPr>
          <w:rFonts w:hint="eastAsia" w:ascii="仿宋_GB2312" w:hAnsi="仿宋_GB2312" w:eastAsia="仿宋_GB2312" w:cs="仿宋_GB2312"/>
          <w:sz w:val="32"/>
          <w:szCs w:val="32"/>
          <w:lang w:val="en-US" w:eastAsia="zh-CN"/>
        </w:rPr>
        <w:t>这</w:t>
      </w:r>
      <w:r>
        <w:rPr>
          <w:rFonts w:hint="eastAsia" w:ascii="仿宋_GB2312" w:hAnsi="仿宋_GB2312" w:eastAsia="仿宋_GB2312" w:cs="仿宋_GB2312"/>
          <w:sz w:val="32"/>
          <w:szCs w:val="32"/>
          <w:lang w:val="zh-CN" w:eastAsia="zh-CN"/>
        </w:rPr>
        <w:t>是全街道广大干部群众挥洒汗水的收获。在此，我谨代表</w:t>
      </w:r>
      <w:r>
        <w:rPr>
          <w:rFonts w:hint="eastAsia" w:ascii="仿宋_GB2312" w:hAnsi="仿宋_GB2312" w:eastAsia="仿宋_GB2312" w:cs="仿宋_GB2312"/>
          <w:sz w:val="32"/>
          <w:szCs w:val="32"/>
          <w:lang w:val="en-US" w:eastAsia="zh-CN"/>
        </w:rPr>
        <w:t>南码头路</w:t>
      </w:r>
      <w:r>
        <w:rPr>
          <w:rFonts w:hint="eastAsia" w:ascii="仿宋_GB2312" w:hAnsi="仿宋_GB2312" w:eastAsia="仿宋_GB2312" w:cs="仿宋_GB2312"/>
          <w:sz w:val="32"/>
          <w:szCs w:val="32"/>
          <w:lang w:val="zh-CN" w:eastAsia="zh-CN"/>
        </w:rPr>
        <w:t>街道办事处，向全街道广大干部群众，向各位代表，向所有关心、支持和参与</w:t>
      </w:r>
      <w:r>
        <w:rPr>
          <w:rFonts w:hint="eastAsia" w:ascii="仿宋_GB2312" w:hAnsi="仿宋_GB2312" w:eastAsia="仿宋_GB2312" w:cs="仿宋_GB2312"/>
          <w:sz w:val="32"/>
          <w:szCs w:val="32"/>
          <w:lang w:val="en-US" w:eastAsia="zh-CN"/>
        </w:rPr>
        <w:t>南码头</w:t>
      </w:r>
      <w:r>
        <w:rPr>
          <w:rFonts w:hint="eastAsia" w:ascii="仿宋_GB2312" w:hAnsi="仿宋_GB2312" w:eastAsia="仿宋_GB2312" w:cs="仿宋_GB2312"/>
          <w:sz w:val="32"/>
          <w:szCs w:val="32"/>
          <w:lang w:val="zh-CN" w:eastAsia="zh-CN"/>
        </w:rPr>
        <w:t>建设发展的各界</w:t>
      </w:r>
      <w:r>
        <w:rPr>
          <w:rFonts w:hint="eastAsia" w:ascii="仿宋_GB2312" w:hAnsi="仿宋_GB2312" w:eastAsia="仿宋_GB2312" w:cs="仿宋_GB2312"/>
          <w:sz w:val="32"/>
          <w:szCs w:val="32"/>
          <w:lang w:val="en-US" w:eastAsia="zh-CN"/>
        </w:rPr>
        <w:t>人士</w:t>
      </w:r>
      <w:r>
        <w:rPr>
          <w:rFonts w:hint="eastAsia" w:ascii="仿宋_GB2312" w:hAnsi="仿宋_GB2312" w:eastAsia="仿宋_GB2312" w:cs="仿宋_GB2312"/>
          <w:sz w:val="32"/>
          <w:szCs w:val="32"/>
          <w:lang w:val="zh-CN" w:eastAsia="zh-CN"/>
        </w:rPr>
        <w:t>，表示衷心的感谢和崇高的敬意！</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取得成绩固然可喜，但是我们也要清醒并且充分认识到发展中一些深层次矛盾还未解决，办事处工作中还存在不少短板和挑战，比如：部分工作人员开拓创新意识不足，不同程度地存在“不想为、不敢为、不会为”的现象；工作中的闪光点不少，但是散落各处，尚未产生整体效应；部分事业的发展与群众期待仍有差距，人民的获得感还需提升。对此，我们必须直面困难，进一步提振敢闯敢干的信心，拿出真抓实干的担当，锤炼善作善成的本领，实现高质量发展的新突破。</w:t>
      </w:r>
    </w:p>
    <w:p>
      <w:pPr>
        <w:keepNext w:val="0"/>
        <w:keepLines w:val="0"/>
        <w:pageBreakBefore w:val="0"/>
        <w:widowControl w:val="0"/>
        <w:kinsoku/>
        <w:wordWrap/>
        <w:topLinePunct w:val="0"/>
        <w:autoSpaceDE/>
        <w:autoSpaceDN/>
        <w:bidi w:val="0"/>
        <w:adjustRightInd w:val="0"/>
        <w:snapToGrid w:val="0"/>
        <w:spacing w:line="560" w:lineRule="exact"/>
        <w:ind w:left="-420" w:leftChars="-200" w:firstLine="640" w:firstLineChars="200"/>
        <w:textAlignment w:val="auto"/>
        <w:rPr>
          <w:rFonts w:hint="eastAsia" w:ascii="仿宋_GB2312" w:hAnsi="仿宋_GB2312" w:eastAsia="仿宋_GB2312" w:cs="仿宋_GB2312"/>
          <w:kern w:val="2"/>
          <w:sz w:val="32"/>
          <w:szCs w:val="32"/>
          <w:lang w:val="en-US" w:eastAsia="zh-CN" w:bidi="ar-SA"/>
        </w:rPr>
      </w:pPr>
    </w:p>
    <w:p>
      <w:pPr>
        <w:adjustRightInd w:val="0"/>
        <w:snapToGrid w:val="0"/>
        <w:spacing w:line="560" w:lineRule="exact"/>
        <w:ind w:left="-420" w:leftChars="-200"/>
        <w:jc w:val="center"/>
        <w:rPr>
          <w:rFonts w:hint="eastAsia" w:ascii="黑体" w:hAnsi="黑体" w:eastAsia="黑体" w:cs="黑体"/>
          <w:sz w:val="32"/>
          <w:szCs w:val="32"/>
          <w:lang w:eastAsia="zh-CN"/>
        </w:rPr>
      </w:pPr>
      <w:r>
        <w:rPr>
          <w:rFonts w:hint="eastAsia" w:ascii="黑体" w:hAnsi="黑体" w:eastAsia="黑体" w:cs="黑体"/>
          <w:sz w:val="32"/>
          <w:szCs w:val="32"/>
        </w:rPr>
        <w:t>二、</w:t>
      </w:r>
      <w:r>
        <w:rPr>
          <w:rFonts w:ascii="黑体" w:hAnsi="黑体" w:eastAsia="黑体" w:cs="黑体"/>
          <w:sz w:val="32"/>
          <w:szCs w:val="32"/>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年工作要点</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是全面建成小康社会和“十三五”规划收官之年，是浦东开发开放30周年。做好今年街道</w:t>
      </w:r>
      <w:r>
        <w:rPr>
          <w:rFonts w:hint="eastAsia" w:ascii="仿宋_GB2312" w:hAnsi="仿宋_GB2312" w:eastAsia="仿宋_GB2312" w:cs="仿宋_GB2312"/>
          <w:sz w:val="32"/>
          <w:szCs w:val="32"/>
        </w:rPr>
        <w:t>办事处工作</w:t>
      </w:r>
      <w:r>
        <w:rPr>
          <w:rFonts w:hint="eastAsia" w:ascii="仿宋_GB2312" w:hAnsi="仿宋_GB2312" w:eastAsia="仿宋_GB2312" w:cs="仿宋_GB2312"/>
          <w:sz w:val="32"/>
          <w:szCs w:val="32"/>
          <w:lang w:eastAsia="zh-CN"/>
        </w:rPr>
        <w:t>，必须坚持以</w:t>
      </w:r>
      <w:r>
        <w:rPr>
          <w:rFonts w:hint="eastAsia" w:ascii="仿宋_GB2312" w:hAnsi="仿宋_GB2312" w:eastAsia="仿宋_GB2312" w:cs="仿宋_GB2312"/>
          <w:sz w:val="32"/>
          <w:szCs w:val="32"/>
        </w:rPr>
        <w:t>习近平新时代中国特色社会主义思想为指导，全面贯彻落实党的十九大和十九届二中、三中</w:t>
      </w:r>
      <w:r>
        <w:rPr>
          <w:rFonts w:hint="eastAsia" w:ascii="仿宋_GB2312" w:hAnsi="仿宋_GB2312" w:eastAsia="仿宋_GB2312" w:cs="仿宋_GB2312"/>
          <w:sz w:val="32"/>
          <w:szCs w:val="32"/>
          <w:lang w:eastAsia="zh-CN"/>
        </w:rPr>
        <w:t>、四中</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val="en-US" w:eastAsia="zh-CN"/>
        </w:rPr>
        <w:t>深入学习贯彻落实习近平总书记</w:t>
      </w:r>
      <w:r>
        <w:rPr>
          <w:rFonts w:hint="eastAsia" w:ascii="仿宋_GB2312" w:hAnsi="仿宋_GB2312" w:eastAsia="仿宋_GB2312" w:cs="仿宋_GB2312"/>
          <w:sz w:val="32"/>
          <w:szCs w:val="32"/>
        </w:rPr>
        <w:t>考察上海</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讲话精神，</w:t>
      </w:r>
      <w:r>
        <w:rPr>
          <w:rFonts w:hint="eastAsia" w:ascii="仿宋_GB2312" w:hAnsi="仿宋_GB2312" w:eastAsia="仿宋_GB2312" w:cs="仿宋_GB2312"/>
          <w:sz w:val="32"/>
          <w:szCs w:val="32"/>
          <w:lang w:eastAsia="zh-CN"/>
        </w:rPr>
        <w:t>坚持“四个放在”</w:t>
      </w:r>
      <w:r>
        <w:rPr>
          <w:rFonts w:hint="eastAsia" w:ascii="仿宋_GB2312" w:hAnsi="仿宋_GB2312" w:eastAsia="仿宋_GB2312" w:cs="仿宋_GB2312"/>
          <w:sz w:val="32"/>
          <w:szCs w:val="32"/>
          <w:vertAlign w:val="superscript"/>
          <w:lang w:val="en-US" w:eastAsia="zh-CN"/>
        </w:rPr>
        <w:t>11</w:t>
      </w:r>
      <w:r>
        <w:rPr>
          <w:rFonts w:hint="eastAsia" w:ascii="仿宋_GB2312" w:hAnsi="仿宋_GB2312" w:eastAsia="仿宋_GB2312" w:cs="仿宋_GB2312"/>
          <w:sz w:val="32"/>
          <w:szCs w:val="32"/>
          <w:lang w:eastAsia="zh-CN"/>
        </w:rPr>
        <w:t>“三个在于”</w:t>
      </w:r>
      <w:r>
        <w:rPr>
          <w:rFonts w:hint="eastAsia" w:ascii="仿宋_GB2312" w:hAnsi="仿宋_GB2312" w:eastAsia="仿宋_GB2312" w:cs="仿宋_GB2312"/>
          <w:sz w:val="32"/>
          <w:szCs w:val="32"/>
          <w:vertAlign w:val="superscript"/>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根据市委市政府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区委区政府的决策部署，</w:t>
      </w:r>
      <w:r>
        <w:rPr>
          <w:rFonts w:hint="eastAsia" w:ascii="仿宋_GB2312" w:hAnsi="仿宋" w:eastAsia="仿宋_GB2312"/>
          <w:b w:val="0"/>
          <w:bCs w:val="0"/>
          <w:sz w:val="32"/>
          <w:szCs w:val="32"/>
          <w:lang w:val="en-US" w:eastAsia="zh-CN"/>
        </w:rPr>
        <w:t>按照街道党代会确定的</w:t>
      </w:r>
      <w:r>
        <w:rPr>
          <w:rFonts w:hint="eastAsia" w:ascii="仿宋_GB2312" w:hAnsi="仿宋" w:eastAsia="仿宋_GB2312"/>
          <w:b/>
          <w:bCs/>
          <w:sz w:val="32"/>
          <w:szCs w:val="32"/>
          <w:lang w:val="en-US" w:eastAsia="zh-CN"/>
        </w:rPr>
        <w:t>“1+2+3+7”总体框架</w:t>
      </w:r>
      <w:r>
        <w:rPr>
          <w:rFonts w:hint="eastAsia" w:ascii="仿宋_GB2312" w:hAnsi="仿宋_GB2312" w:eastAsia="仿宋_GB2312" w:cs="仿宋_GB2312"/>
          <w:sz w:val="32"/>
          <w:szCs w:val="32"/>
          <w:vertAlign w:val="superscript"/>
          <w:lang w:val="en-US" w:eastAsia="zh-CN"/>
        </w:rPr>
        <w:t>13</w:t>
      </w:r>
      <w:r>
        <w:rPr>
          <w:rFonts w:hint="eastAsia" w:ascii="仿宋_GB2312" w:hAnsi="仿宋" w:eastAsia="仿宋_GB2312"/>
          <w:b w:val="0"/>
          <w:bCs w:val="0"/>
          <w:sz w:val="32"/>
          <w:szCs w:val="32"/>
          <w:lang w:val="en-US" w:eastAsia="zh-CN"/>
        </w:rPr>
        <w:t>，</w:t>
      </w:r>
      <w:r>
        <w:rPr>
          <w:rFonts w:hint="eastAsia" w:ascii="仿宋_GB2312" w:hAnsi="仿宋" w:eastAsia="仿宋_GB2312"/>
          <w:b w:val="0"/>
          <w:bCs w:val="0"/>
          <w:color w:val="auto"/>
          <w:sz w:val="32"/>
          <w:szCs w:val="32"/>
          <w:lang w:val="en-US" w:eastAsia="zh-CN"/>
        </w:rPr>
        <w:t>围绕建设</w:t>
      </w:r>
      <w:r>
        <w:rPr>
          <w:rFonts w:hint="eastAsia" w:ascii="仿宋_GB2312" w:hAnsi="仿宋" w:eastAsia="仿宋_GB2312"/>
          <w:b/>
          <w:bCs/>
          <w:color w:val="auto"/>
          <w:sz w:val="32"/>
          <w:szCs w:val="32"/>
          <w:lang w:val="en-US" w:eastAsia="zh-CN"/>
        </w:rPr>
        <w:t>高品质“七彩南码头”</w:t>
      </w:r>
      <w:r>
        <w:rPr>
          <w:rFonts w:hint="eastAsia" w:ascii="仿宋_GB2312" w:hAnsi="仿宋" w:eastAsia="仿宋_GB2312"/>
          <w:b w:val="0"/>
          <w:bCs w:val="0"/>
          <w:color w:val="auto"/>
          <w:sz w:val="32"/>
          <w:szCs w:val="32"/>
          <w:lang w:val="en-US" w:eastAsia="zh-CN"/>
        </w:rPr>
        <w:t>，</w:t>
      </w:r>
      <w:r>
        <w:rPr>
          <w:rFonts w:hint="eastAsia" w:ascii="仿宋_GB2312" w:hAnsi="仿宋_GB2312" w:eastAsia="仿宋_GB2312" w:cs="仿宋_GB2312"/>
          <w:color w:val="auto"/>
          <w:sz w:val="32"/>
          <w:szCs w:val="32"/>
          <w:lang w:eastAsia="zh-CN"/>
        </w:rPr>
        <w:t>坚持</w:t>
      </w:r>
      <w:r>
        <w:rPr>
          <w:rFonts w:hint="eastAsia" w:ascii="仿宋_GB2312" w:hAnsi="仿宋_GB2312" w:eastAsia="仿宋_GB2312" w:cs="仿宋_GB2312"/>
          <w:color w:val="auto"/>
          <w:sz w:val="32"/>
          <w:szCs w:val="32"/>
          <w:lang w:val="en-US" w:eastAsia="zh-CN"/>
        </w:rPr>
        <w:t>实干</w:t>
      </w:r>
      <w:r>
        <w:rPr>
          <w:rFonts w:hint="eastAsia" w:ascii="仿宋_GB2312" w:hAnsi="仿宋_GB2312" w:eastAsia="仿宋_GB2312" w:cs="仿宋_GB2312"/>
          <w:color w:val="auto"/>
          <w:sz w:val="32"/>
          <w:szCs w:val="32"/>
          <w:lang w:eastAsia="zh-CN"/>
        </w:rPr>
        <w:t>不懈怠、</w:t>
      </w:r>
      <w:r>
        <w:rPr>
          <w:rFonts w:hint="eastAsia" w:ascii="仿宋_GB2312" w:hAnsi="仿宋_GB2312" w:eastAsia="仿宋_GB2312" w:cs="仿宋_GB2312"/>
          <w:color w:val="auto"/>
          <w:sz w:val="32"/>
          <w:szCs w:val="32"/>
          <w:lang w:val="en-US" w:eastAsia="zh-CN"/>
        </w:rPr>
        <w:t>提升品质</w:t>
      </w:r>
      <w:r>
        <w:rPr>
          <w:rFonts w:hint="eastAsia" w:ascii="仿宋_GB2312" w:hAnsi="仿宋_GB2312" w:eastAsia="仿宋_GB2312" w:cs="仿宋_GB2312"/>
          <w:color w:val="auto"/>
          <w:sz w:val="32"/>
          <w:szCs w:val="32"/>
          <w:lang w:eastAsia="zh-CN"/>
        </w:rPr>
        <w:t>不停步，充满激情，富于创造，敢于担当，全力推动各项工作落地见效，</w:t>
      </w:r>
      <w:r>
        <w:rPr>
          <w:rFonts w:hint="eastAsia" w:ascii="仿宋_GB2312" w:hAnsi="仿宋_GB2312" w:eastAsia="仿宋_GB2312" w:cs="仿宋_GB2312"/>
          <w:color w:val="auto"/>
          <w:sz w:val="32"/>
          <w:szCs w:val="32"/>
          <w:lang w:val="en-US" w:eastAsia="zh-CN"/>
        </w:rPr>
        <w:t>与社区各界</w:t>
      </w:r>
      <w:r>
        <w:rPr>
          <w:rFonts w:hint="eastAsia" w:ascii="仿宋_GB2312" w:hAnsi="仿宋_GB2312" w:eastAsia="仿宋_GB2312" w:cs="仿宋_GB2312"/>
          <w:color w:val="auto"/>
          <w:sz w:val="32"/>
          <w:szCs w:val="32"/>
          <w:lang w:eastAsia="zh-CN"/>
        </w:rPr>
        <w:t>共同</w:t>
      </w:r>
      <w:r>
        <w:rPr>
          <w:rFonts w:hint="eastAsia" w:ascii="仿宋_GB2312" w:hAnsi="仿宋_GB2312" w:eastAsia="仿宋_GB2312" w:cs="仿宋_GB2312"/>
          <w:color w:val="auto"/>
          <w:sz w:val="32"/>
          <w:szCs w:val="32"/>
          <w:lang w:val="en-US" w:eastAsia="zh-CN"/>
        </w:rPr>
        <w:t>开启南码头缤纷绚烂的</w:t>
      </w:r>
      <w:r>
        <w:rPr>
          <w:rFonts w:hint="eastAsia" w:ascii="仿宋_GB2312" w:hAnsi="仿宋_GB2312" w:eastAsia="仿宋_GB2312" w:cs="仿宋_GB2312"/>
          <w:color w:val="auto"/>
          <w:sz w:val="32"/>
          <w:szCs w:val="32"/>
          <w:lang w:eastAsia="zh-CN"/>
        </w:rPr>
        <w:t>新时代。</w:t>
      </w:r>
    </w:p>
    <w:p>
      <w:pPr>
        <w:keepNext w:val="0"/>
        <w:keepLines w:val="0"/>
        <w:pageBreakBefore w:val="0"/>
        <w:widowControl w:val="0"/>
        <w:wordWrap/>
        <w:topLinePunct w:val="0"/>
        <w:bidi w:val="0"/>
        <w:adjustRightInd w:val="0"/>
        <w:snapToGrid w:val="0"/>
        <w:spacing w:line="560" w:lineRule="exact"/>
        <w:ind w:right="-420" w:rightChars="-200" w:firstLine="320" w:firstLineChars="100"/>
        <w:textAlignment w:val="auto"/>
        <w:rPr>
          <w:rFonts w:hint="eastAsia" w:ascii="仿宋_GB2312" w:hAnsi="仿宋" w:eastAsia="仿宋_GB2312"/>
          <w:b w:val="0"/>
          <w:bCs w:val="0"/>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年，街道办事处将重点做好以下</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个方面工作：</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一）</w:t>
      </w:r>
      <w:r>
        <w:rPr>
          <w:rFonts w:hint="eastAsia" w:ascii="华文楷体" w:hAnsi="华文楷体" w:eastAsia="华文楷体" w:cs="华文楷体"/>
          <w:b/>
          <w:bCs/>
          <w:sz w:val="32"/>
          <w:szCs w:val="32"/>
          <w:lang w:eastAsia="zh-CN"/>
        </w:rPr>
        <w:t>保障民生服务</w:t>
      </w:r>
      <w:r>
        <w:rPr>
          <w:rFonts w:hint="eastAsia" w:ascii="华文楷体" w:hAnsi="华文楷体" w:eastAsia="华文楷体" w:cs="华文楷体"/>
          <w:b/>
          <w:bCs/>
          <w:sz w:val="32"/>
          <w:szCs w:val="32"/>
        </w:rPr>
        <w:t>，全民共享高</w:t>
      </w:r>
      <w:r>
        <w:rPr>
          <w:rFonts w:hint="eastAsia" w:ascii="华文楷体" w:hAnsi="华文楷体" w:eastAsia="华文楷体" w:cs="华文楷体"/>
          <w:b/>
          <w:bCs/>
          <w:sz w:val="32"/>
          <w:szCs w:val="32"/>
          <w:lang w:eastAsia="zh-CN"/>
        </w:rPr>
        <w:t>品质</w:t>
      </w:r>
      <w:r>
        <w:rPr>
          <w:rFonts w:hint="eastAsia" w:ascii="华文楷体" w:hAnsi="华文楷体" w:eastAsia="华文楷体" w:cs="华文楷体"/>
          <w:b/>
          <w:bCs/>
          <w:sz w:val="32"/>
          <w:szCs w:val="32"/>
        </w:rPr>
        <w:t>发展成果</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聚焦为老服务。</w:t>
      </w:r>
      <w:r>
        <w:rPr>
          <w:rFonts w:hint="eastAsia" w:ascii="仿宋_GB2312" w:hAnsi="仿宋_GB2312" w:eastAsia="仿宋_GB2312" w:cs="仿宋_GB2312"/>
          <w:color w:val="auto"/>
          <w:sz w:val="32"/>
          <w:szCs w:val="32"/>
          <w:lang w:val="en-US" w:eastAsia="zh-CN"/>
        </w:rPr>
        <w:t>升级“家门口”养老便利店，做好标准化老年活动室、单一型助餐点和为老服务大数据平台三期建设。做好数据更新维护，优化数据运用和政策分析，提高服务质量。定期开展专业政策和服务项目培训，提升家门口养老顾问专业化水平。加快探索构建与居家社区机构相协调、医养康养相结合的养老服务体系。开展“平安好医生”项目，试点“无人诊所”终端机，通过线上进行专家问诊，实现常见病就地配药，疑难杂症有针对性地提供专业诊疗意见。机构养老服务重点推进仁济医院国家级课题落地，长期跟踪分析养老院内老人健康状况；探索利用PC、手机端等智慧养老设备，在养老机构实现远程专家问诊，解决内设医疗机构水平有限的难题。织密为老服务网络，实现睦邻点在居民区全覆盖，统筹紧急呼叫装备覆盖有需要的经济困难老年家庭，完成标准化智慧健康小屋建设和布展。</w:t>
      </w:r>
    </w:p>
    <w:p>
      <w:pPr>
        <w:keepNext w:val="0"/>
        <w:keepLines w:val="0"/>
        <w:pageBreakBefore w:val="0"/>
        <w:widowControl/>
        <w:numPr>
          <w:ilvl w:val="0"/>
          <w:numId w:val="0"/>
        </w:numPr>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保障服务供给。</w:t>
      </w:r>
      <w:r>
        <w:rPr>
          <w:rFonts w:hint="eastAsia" w:ascii="仿宋_GB2312" w:hAnsi="仿宋_GB2312" w:eastAsia="仿宋_GB2312" w:cs="仿宋_GB2312"/>
          <w:sz w:val="32"/>
          <w:szCs w:val="32"/>
        </w:rPr>
        <w:t>深化</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就业服务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维护就业公平。</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color w:val="auto"/>
          <w:sz w:val="32"/>
          <w:szCs w:val="32"/>
          <w:lang w:val="en-US" w:eastAsia="zh-CN"/>
        </w:rPr>
        <w:t>定制专属就业方案、开设小班化培训、就近挖掘岗位等措施，</w:t>
      </w:r>
      <w:r>
        <w:rPr>
          <w:rFonts w:hint="eastAsia" w:ascii="仿宋_GB2312" w:hAnsi="仿宋_GB2312" w:eastAsia="仿宋_GB2312" w:cs="仿宋_GB2312"/>
          <w:sz w:val="32"/>
          <w:szCs w:val="32"/>
        </w:rPr>
        <w:t>扶助</w:t>
      </w:r>
      <w:r>
        <w:rPr>
          <w:rFonts w:hint="eastAsia" w:ascii="仿宋_GB2312" w:hAnsi="仿宋_GB2312" w:eastAsia="仿宋_GB2312" w:cs="仿宋_GB2312"/>
          <w:color w:val="auto"/>
          <w:sz w:val="32"/>
          <w:szCs w:val="32"/>
          <w:lang w:val="en-US" w:eastAsia="zh-CN"/>
        </w:rPr>
        <w:t>就业困难人员</w:t>
      </w:r>
      <w:r>
        <w:rPr>
          <w:rFonts w:hint="eastAsia" w:ascii="仿宋_GB2312" w:hAnsi="仿宋_GB2312" w:eastAsia="仿宋_GB2312" w:cs="仿宋_GB2312"/>
          <w:sz w:val="32"/>
          <w:szCs w:val="32"/>
        </w:rPr>
        <w:t>再就业。</w:t>
      </w:r>
      <w:r>
        <w:rPr>
          <w:rFonts w:hint="eastAsia" w:ascii="仿宋_GB2312" w:hAnsi="仿宋_GB2312" w:eastAsia="仿宋_GB2312" w:cs="仿宋_GB2312"/>
          <w:color w:val="auto"/>
          <w:sz w:val="32"/>
          <w:szCs w:val="32"/>
          <w:lang w:val="en-US" w:eastAsia="zh-CN"/>
        </w:rPr>
        <w:t>狠抓社会救助服务质量提升，开展社会救助档案标准化创建，完善社会救助资金使用和监管制度，切实提高政策执行效力。提升“15分钟助残服务圈”质量，推进助残服务进“家门口”，建章立制、形成规范，实现居民区全覆盖。加强综合事务受理工作人员的复合型能力建设，建立窗口党员模范岗、服务明星示范岗，发挥示范榜样作用，推动整体服务水平持续提高。</w:t>
      </w:r>
      <w:r>
        <w:rPr>
          <w:rFonts w:hint="eastAsia" w:ascii="Times New Roman" w:hAnsi="Times New Roman" w:eastAsia="仿宋_GB2312" w:cs="Times New Roman"/>
          <w:sz w:val="32"/>
          <w:szCs w:val="32"/>
        </w:rPr>
        <w:t>巩固</w:t>
      </w:r>
      <w:r>
        <w:rPr>
          <w:rFonts w:hint="eastAsia" w:ascii="Times New Roman" w:hAnsi="Times New Roman" w:eastAsia="仿宋_GB2312" w:cs="Times New Roman"/>
          <w:sz w:val="32"/>
          <w:szCs w:val="32"/>
          <w:lang w:eastAsia="zh-CN"/>
        </w:rPr>
        <w:t>浦东新区</w:t>
      </w:r>
      <w:r>
        <w:rPr>
          <w:rFonts w:hint="eastAsia" w:ascii="Times New Roman" w:hAnsi="Times New Roman" w:eastAsia="仿宋_GB2312" w:cs="Times New Roman"/>
          <w:sz w:val="32"/>
          <w:szCs w:val="32"/>
        </w:rPr>
        <w:t>双拥模范</w:t>
      </w:r>
      <w:r>
        <w:rPr>
          <w:rFonts w:hint="eastAsia" w:ascii="Times New Roman" w:hAnsi="Times New Roman" w:eastAsia="仿宋_GB2312" w:cs="Times New Roman"/>
          <w:sz w:val="32"/>
          <w:szCs w:val="32"/>
          <w:lang w:eastAsia="zh-CN"/>
        </w:rPr>
        <w:t>街道</w:t>
      </w:r>
      <w:r>
        <w:rPr>
          <w:rFonts w:hint="eastAsia" w:ascii="Times New Roman" w:hAnsi="Times New Roman" w:eastAsia="仿宋_GB2312" w:cs="Times New Roman"/>
          <w:sz w:val="32"/>
          <w:szCs w:val="32"/>
        </w:rPr>
        <w:t>创建成果，</w:t>
      </w:r>
      <w:r>
        <w:rPr>
          <w:rFonts w:hint="eastAsia" w:ascii="Times New Roman" w:hAnsi="Times New Roman" w:eastAsia="仿宋_GB2312" w:cs="Times New Roman"/>
          <w:sz w:val="32"/>
          <w:szCs w:val="32"/>
          <w:lang w:eastAsia="zh-CN"/>
        </w:rPr>
        <w:t>推进</w:t>
      </w:r>
      <w:r>
        <w:rPr>
          <w:rFonts w:hint="eastAsia" w:ascii="Times New Roman" w:hAnsi="Times New Roman" w:eastAsia="仿宋_GB2312" w:cs="Times New Roman"/>
          <w:sz w:val="32"/>
          <w:szCs w:val="32"/>
        </w:rPr>
        <w:t>退役军人服务保障</w:t>
      </w:r>
      <w:r>
        <w:rPr>
          <w:rFonts w:hint="eastAsia" w:ascii="Times New Roman" w:hAnsi="Times New Roman" w:eastAsia="仿宋_GB2312" w:cs="Times New Roman"/>
          <w:sz w:val="32"/>
          <w:szCs w:val="32"/>
          <w:lang w:eastAsia="zh-CN"/>
        </w:rPr>
        <w:t>工作开展。继续提升</w:t>
      </w:r>
      <w:r>
        <w:rPr>
          <w:rFonts w:hint="eastAsia" w:ascii="Times New Roman" w:hAnsi="Times New Roman" w:eastAsia="仿宋_GB2312" w:cs="Times New Roman"/>
          <w:sz w:val="32"/>
          <w:szCs w:val="32"/>
        </w:rPr>
        <w:t>《健康课堂》品牌</w:t>
      </w:r>
      <w:r>
        <w:rPr>
          <w:rFonts w:hint="eastAsia" w:ascii="Times New Roman" w:hAnsi="Times New Roman" w:eastAsia="仿宋_GB2312" w:cs="Times New Roman"/>
          <w:sz w:val="32"/>
          <w:szCs w:val="32"/>
          <w:lang w:eastAsia="zh-CN"/>
        </w:rPr>
        <w:t>影响力</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推动红十字“博爱家园（居村）”创建。</w:t>
      </w:r>
      <w:r>
        <w:rPr>
          <w:rFonts w:hint="eastAsia" w:ascii="Times New Roman" w:hAnsi="Times New Roman" w:eastAsia="仿宋_GB2312" w:cs="Times New Roman"/>
          <w:sz w:val="32"/>
          <w:szCs w:val="32"/>
        </w:rPr>
        <w:t>因地制宜开展</w:t>
      </w:r>
      <w:r>
        <w:rPr>
          <w:rFonts w:hint="eastAsia" w:ascii="Times New Roman" w:hAnsi="Times New Roman" w:eastAsia="仿宋_GB2312" w:cs="Times New Roman"/>
          <w:sz w:val="32"/>
          <w:szCs w:val="32"/>
          <w:lang w:eastAsia="zh-CN"/>
        </w:rPr>
        <w:t>形式多样</w:t>
      </w:r>
      <w:r>
        <w:rPr>
          <w:rFonts w:hint="eastAsia"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优生优育</w:t>
      </w:r>
      <w:r>
        <w:rPr>
          <w:rFonts w:hint="eastAsia" w:ascii="Times New Roman" w:hAnsi="Times New Roman" w:eastAsia="仿宋_GB2312" w:cs="Times New Roman"/>
          <w:sz w:val="32"/>
          <w:szCs w:val="32"/>
        </w:rPr>
        <w:t>宣传教育和倡导活动</w:t>
      </w:r>
      <w:r>
        <w:rPr>
          <w:rFonts w:hint="eastAsia" w:ascii="Times New Roman" w:hAnsi="Times New Roman" w:eastAsia="仿宋_GB2312" w:cs="Times New Roman"/>
          <w:sz w:val="32"/>
          <w:szCs w:val="32"/>
          <w:lang w:eastAsia="zh-CN"/>
        </w:rPr>
        <w:t>。</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华文仿宋" w:hAnsi="华文仿宋" w:eastAsia="华文仿宋" w:cs="华文仿宋"/>
          <w:b w:val="0"/>
          <w:bCs w:val="0"/>
          <w:sz w:val="32"/>
          <w:szCs w:val="32"/>
        </w:rPr>
      </w:pPr>
      <w:r>
        <w:rPr>
          <w:rFonts w:hint="eastAsia" w:ascii="仿宋_GB2312" w:hAnsi="仿宋_GB2312" w:eastAsia="仿宋_GB2312" w:cs="仿宋_GB2312"/>
          <w:b/>
          <w:bCs/>
          <w:color w:val="auto"/>
          <w:sz w:val="32"/>
          <w:szCs w:val="32"/>
          <w:lang w:val="en-US" w:eastAsia="zh-CN"/>
        </w:rPr>
        <w:t>丰富文化活动。</w:t>
      </w:r>
      <w:r>
        <w:rPr>
          <w:rFonts w:hint="eastAsia" w:ascii="仿宋_GB2312" w:hAnsi="仿宋_GB2312" w:eastAsia="仿宋_GB2312" w:cs="仿宋_GB2312"/>
          <w:color w:val="auto"/>
          <w:sz w:val="32"/>
          <w:szCs w:val="32"/>
          <w:lang w:val="en-US" w:eastAsia="zh-CN"/>
        </w:rPr>
        <w:t>传承海派文化，办好“2020浦东新区少儿沪语大赛”活动，开展沪语知识竞赛、沪语诵读、少儿沪语大赛等系列活动。提升区域文化影响力，结合“南风”系列文化教育品牌，积极申办、引进市级重大赛事活动。充分发挥“南风讲坛”的平台作用，“高大上”与“贴民心”相结合，实现高水平的视听盛宴和群众真切盼望的“民生务实”知识讲座完美结合。搭建百姓大舞台，做好第三届艺术节，着力打造“南风韵”本土文化演出。探索与市级行业协会合作，充分利用专家资源，共同开设针对老年群体的系列科普养生活动。</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仿宋_GB2312" w:hAnsi="仿宋" w:eastAsia="仿宋_GB2312"/>
          <w:b w:val="0"/>
          <w:bCs w:val="0"/>
          <w:sz w:val="32"/>
          <w:szCs w:val="32"/>
          <w:lang w:val="en-US" w:eastAsia="zh-CN"/>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二）</w:t>
      </w:r>
      <w:r>
        <w:rPr>
          <w:rFonts w:hint="eastAsia" w:ascii="华文楷体" w:hAnsi="华文楷体" w:eastAsia="华文楷体" w:cs="华文楷体"/>
          <w:b/>
          <w:bCs/>
          <w:sz w:val="32"/>
          <w:szCs w:val="32"/>
          <w:lang w:eastAsia="zh-CN"/>
        </w:rPr>
        <w:t>健全治理体系</w:t>
      </w:r>
      <w:r>
        <w:rPr>
          <w:rFonts w:hint="eastAsia" w:ascii="华文楷体" w:hAnsi="华文楷体" w:eastAsia="华文楷体" w:cs="华文楷体"/>
          <w:b/>
          <w:bCs/>
          <w:sz w:val="32"/>
          <w:szCs w:val="32"/>
        </w:rPr>
        <w:t>，全面激发高</w:t>
      </w:r>
      <w:r>
        <w:rPr>
          <w:rFonts w:hint="eastAsia" w:ascii="华文楷体" w:hAnsi="华文楷体" w:eastAsia="华文楷体" w:cs="华文楷体"/>
          <w:b/>
          <w:bCs/>
          <w:sz w:val="32"/>
          <w:szCs w:val="32"/>
          <w:lang w:eastAsia="zh-CN"/>
        </w:rPr>
        <w:t>品质</w:t>
      </w:r>
      <w:r>
        <w:rPr>
          <w:rFonts w:hint="eastAsia" w:ascii="华文楷体" w:hAnsi="华文楷体" w:eastAsia="华文楷体" w:cs="华文楷体"/>
          <w:b/>
          <w:bCs/>
          <w:sz w:val="32"/>
          <w:szCs w:val="32"/>
        </w:rPr>
        <w:t>发展活力</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b/>
          <w:bCs/>
          <w:color w:val="auto"/>
          <w:sz w:val="32"/>
          <w:szCs w:val="32"/>
          <w:u w:val="none"/>
          <w:lang w:val="en-US" w:eastAsia="zh-CN"/>
        </w:rPr>
        <w:t>推进基层民主自治。</w:t>
      </w:r>
      <w:r>
        <w:rPr>
          <w:rFonts w:hint="eastAsia" w:ascii="仿宋_GB2312" w:hAnsi="仿宋_GB2312" w:eastAsia="仿宋_GB2312" w:cs="仿宋_GB2312"/>
          <w:i w:val="0"/>
          <w:caps w:val="0"/>
          <w:color w:val="000000"/>
          <w:spacing w:val="0"/>
          <w:sz w:val="32"/>
          <w:szCs w:val="32"/>
          <w:lang w:val="en-US" w:eastAsia="zh-CN"/>
        </w:rPr>
        <w:t>坚持党建引领，</w:t>
      </w:r>
      <w:r>
        <w:rPr>
          <w:rFonts w:hint="eastAsia" w:ascii="仿宋_GB2312" w:hAnsi="仿宋_GB2312" w:eastAsia="仿宋_GB2312" w:cs="仿宋_GB2312"/>
          <w:i w:val="0"/>
          <w:caps w:val="0"/>
          <w:color w:val="000000"/>
          <w:spacing w:val="0"/>
          <w:sz w:val="32"/>
          <w:szCs w:val="32"/>
        </w:rPr>
        <w:t>把好“方向关”</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引导居民主动参与社区管理，</w:t>
      </w:r>
      <w:r>
        <w:rPr>
          <w:rFonts w:hint="eastAsia" w:ascii="仿宋_GB2312" w:hAnsi="仿宋_GB2312" w:eastAsia="仿宋_GB2312" w:cs="仿宋_GB2312"/>
          <w:i w:val="0"/>
          <w:caps w:val="0"/>
          <w:color w:val="000000"/>
          <w:spacing w:val="0"/>
          <w:sz w:val="32"/>
          <w:szCs w:val="32"/>
        </w:rPr>
        <w:t>注重挖掘热心社区事务、肯奉献、有特长的优秀党员</w:t>
      </w:r>
      <w:r>
        <w:rPr>
          <w:rFonts w:hint="eastAsia" w:ascii="仿宋_GB2312" w:hAnsi="仿宋_GB2312" w:eastAsia="仿宋_GB2312" w:cs="仿宋_GB2312"/>
          <w:i w:val="0"/>
          <w:caps w:val="0"/>
          <w:color w:val="000000"/>
          <w:spacing w:val="0"/>
          <w:sz w:val="32"/>
          <w:szCs w:val="32"/>
          <w:lang w:eastAsia="zh-CN"/>
        </w:rPr>
        <w:t>进</w:t>
      </w:r>
      <w:r>
        <w:rPr>
          <w:rFonts w:hint="eastAsia" w:ascii="仿宋_GB2312" w:hAnsi="仿宋_GB2312" w:eastAsia="仿宋_GB2312" w:cs="仿宋_GB2312"/>
          <w:i w:val="0"/>
          <w:caps w:val="0"/>
          <w:color w:val="000000"/>
          <w:spacing w:val="0"/>
          <w:sz w:val="32"/>
          <w:szCs w:val="32"/>
        </w:rPr>
        <w:t>入业委会</w:t>
      </w:r>
      <w:r>
        <w:rPr>
          <w:rFonts w:hint="eastAsia" w:ascii="仿宋_GB2312" w:hAnsi="仿宋_GB2312" w:eastAsia="仿宋_GB2312" w:cs="仿宋_GB2312"/>
          <w:i w:val="0"/>
          <w:caps w:val="0"/>
          <w:color w:val="000000"/>
          <w:spacing w:val="0"/>
          <w:sz w:val="32"/>
          <w:szCs w:val="32"/>
          <w:lang w:val="en-US" w:eastAsia="zh-CN"/>
        </w:rPr>
        <w:t>，推动“红色”业委会建设</w:t>
      </w:r>
      <w:r>
        <w:rPr>
          <w:rFonts w:hint="eastAsia" w:ascii="仿宋_GB2312" w:hAnsi="仿宋_GB2312" w:eastAsia="仿宋_GB2312" w:cs="仿宋_GB2312"/>
          <w:i w:val="0"/>
          <w:caps w:val="0"/>
          <w:color w:val="000000"/>
          <w:spacing w:val="0"/>
          <w:sz w:val="32"/>
          <w:szCs w:val="32"/>
        </w:rPr>
        <w:t>。坚持组织引领</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把好“指导关”。</w:t>
      </w:r>
      <w:r>
        <w:rPr>
          <w:rFonts w:hint="eastAsia" w:ascii="仿宋_GB2312" w:hAnsi="仿宋_GB2312" w:eastAsia="仿宋_GB2312" w:cs="仿宋_GB2312"/>
          <w:i w:val="0"/>
          <w:caps w:val="0"/>
          <w:color w:val="000000"/>
          <w:spacing w:val="0"/>
          <w:sz w:val="32"/>
          <w:szCs w:val="32"/>
          <w:lang w:eastAsia="zh-CN"/>
        </w:rPr>
        <w:t>充分</w:t>
      </w:r>
      <w:r>
        <w:rPr>
          <w:rFonts w:hint="eastAsia" w:ascii="仿宋_GB2312" w:hAnsi="仿宋_GB2312" w:eastAsia="仿宋_GB2312" w:cs="仿宋_GB2312"/>
          <w:i w:val="0"/>
          <w:caps w:val="0"/>
          <w:color w:val="000000"/>
          <w:spacing w:val="0"/>
          <w:sz w:val="32"/>
          <w:szCs w:val="32"/>
        </w:rPr>
        <w:t>依托</w:t>
      </w:r>
      <w:r>
        <w:rPr>
          <w:rFonts w:hint="eastAsia" w:ascii="仿宋_GB2312" w:hAnsi="仿宋_GB2312" w:eastAsia="仿宋_GB2312" w:cs="仿宋_GB2312"/>
          <w:i w:val="0"/>
          <w:caps w:val="0"/>
          <w:color w:val="000000"/>
          <w:spacing w:val="0"/>
          <w:sz w:val="32"/>
          <w:szCs w:val="32"/>
          <w:lang w:eastAsia="zh-CN"/>
        </w:rPr>
        <w:t>党组织和社区</w:t>
      </w:r>
      <w:r>
        <w:rPr>
          <w:rFonts w:hint="eastAsia" w:ascii="仿宋_GB2312" w:hAnsi="仿宋_GB2312" w:eastAsia="仿宋_GB2312" w:cs="仿宋_GB2312"/>
          <w:i w:val="0"/>
          <w:caps w:val="0"/>
          <w:color w:val="000000"/>
          <w:spacing w:val="0"/>
          <w:sz w:val="32"/>
          <w:szCs w:val="32"/>
        </w:rPr>
        <w:t>共建单位力量</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引入律师、调处机构</w:t>
      </w:r>
      <w:r>
        <w:rPr>
          <w:rFonts w:hint="eastAsia" w:ascii="仿宋_GB2312" w:hAnsi="仿宋_GB2312" w:eastAsia="仿宋_GB2312" w:cs="仿宋_GB2312"/>
          <w:i w:val="0"/>
          <w:caps w:val="0"/>
          <w:color w:val="000000"/>
          <w:spacing w:val="0"/>
          <w:sz w:val="32"/>
          <w:szCs w:val="32"/>
          <w:lang w:eastAsia="zh-CN"/>
        </w:rPr>
        <w:t>等专业力量</w:t>
      </w:r>
      <w:r>
        <w:rPr>
          <w:rFonts w:hint="eastAsia" w:ascii="仿宋_GB2312" w:hAnsi="仿宋_GB2312" w:eastAsia="仿宋_GB2312" w:cs="仿宋_GB2312"/>
          <w:i w:val="0"/>
          <w:caps w:val="0"/>
          <w:color w:val="000000"/>
          <w:spacing w:val="0"/>
          <w:sz w:val="32"/>
          <w:szCs w:val="32"/>
        </w:rPr>
        <w:t>，为业委会组建、选举、运作提供技术支撑，在不同利益主体之间搭建起沟通桥梁。坚持</w:t>
      </w:r>
      <w:r>
        <w:rPr>
          <w:rFonts w:hint="eastAsia" w:ascii="仿宋_GB2312" w:hAnsi="仿宋_GB2312" w:eastAsia="仿宋_GB2312" w:cs="仿宋_GB2312"/>
          <w:i w:val="0"/>
          <w:caps w:val="0"/>
          <w:color w:val="000000"/>
          <w:spacing w:val="0"/>
          <w:sz w:val="32"/>
          <w:szCs w:val="32"/>
          <w:lang w:eastAsia="zh-CN"/>
        </w:rPr>
        <w:t>制度</w:t>
      </w:r>
      <w:r>
        <w:rPr>
          <w:rFonts w:hint="eastAsia" w:ascii="仿宋_GB2312" w:hAnsi="仿宋_GB2312" w:eastAsia="仿宋_GB2312" w:cs="仿宋_GB2312"/>
          <w:i w:val="0"/>
          <w:caps w:val="0"/>
          <w:color w:val="000000"/>
          <w:spacing w:val="0"/>
          <w:sz w:val="32"/>
          <w:szCs w:val="32"/>
        </w:rPr>
        <w:t>引领</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把好“协调关”</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完善小区“宪法”，进一步健全“三会”制度、自治公约、楼组公约等小区自治管理制度，规范居民区民主协商的流程，体现社区最大的公约数。畅通社情民意征集渠道，健全信息征集机制，将切实关乎居民切身利益、居民反映强烈、迫切要求解决的困难问题、大事小情纳入民主协商范畴。</w:t>
      </w:r>
      <w:r>
        <w:rPr>
          <w:rFonts w:hint="eastAsia" w:ascii="仿宋_GB2312" w:hAnsi="仿宋_GB2312" w:eastAsia="仿宋_GB2312" w:cs="仿宋_GB2312"/>
          <w:i w:val="0"/>
          <w:caps w:val="0"/>
          <w:color w:val="000000"/>
          <w:spacing w:val="0"/>
          <w:sz w:val="32"/>
          <w:szCs w:val="32"/>
        </w:rPr>
        <w:t>坚持能力引领</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把好“质量关”。</w:t>
      </w:r>
      <w:r>
        <w:rPr>
          <w:rFonts w:hint="eastAsia" w:ascii="仿宋_GB2312" w:hAnsi="仿宋_GB2312" w:eastAsia="仿宋_GB2312" w:cs="仿宋_GB2312"/>
          <w:i w:val="0"/>
          <w:caps w:val="0"/>
          <w:color w:val="000000"/>
          <w:spacing w:val="0"/>
          <w:sz w:val="32"/>
          <w:szCs w:val="32"/>
          <w:lang w:val="en-US" w:eastAsia="zh-CN"/>
        </w:rPr>
        <w:t>引入第三方社会组织力量，以“自治金”项目为载体，充分发挥居民的主体作用，围绕街道重点工作进行分类指导，打造自治工作示范点。</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 w:eastAsia="仿宋_GB2312"/>
          <w:b w:val="0"/>
          <w:bCs w:val="0"/>
          <w:sz w:val="32"/>
          <w:szCs w:val="32"/>
          <w:lang w:val="en-US" w:eastAsia="zh-CN"/>
        </w:rPr>
      </w:pPr>
      <w:r>
        <w:rPr>
          <w:rFonts w:hint="eastAsia" w:ascii="仿宋_GB2312" w:hAnsi="仿宋_GB2312" w:eastAsia="仿宋_GB2312" w:cs="仿宋_GB2312"/>
          <w:b/>
          <w:bCs/>
          <w:color w:val="auto"/>
          <w:sz w:val="32"/>
          <w:szCs w:val="32"/>
          <w:lang w:val="en-US" w:eastAsia="zh-CN"/>
        </w:rPr>
        <w:t>深化社企共治联动。</w:t>
      </w:r>
      <w:r>
        <w:rPr>
          <w:rFonts w:hint="eastAsia" w:ascii="仿宋_GB2312" w:hAnsi="仿宋_GB2312" w:eastAsia="仿宋_GB2312" w:cs="仿宋_GB2312"/>
          <w:color w:val="auto"/>
          <w:sz w:val="32"/>
          <w:szCs w:val="32"/>
          <w:lang w:val="en-US" w:eastAsia="zh-CN"/>
        </w:rPr>
        <w:t>以社会组织服务中心创评4A级社会组织为契机，继续开展能力建设专题培训，提升社会组织规范化水平。深耕共治土壤，进一步做好社会组织孵化工作，根据街道实情建立孵化培育模式，孵化1个以社区治理为主业、具有南码头特色的社会组织。厚植项目运作，推动社会组织参与社区自治共治，助力街道各项中心工作，让社会组织孵化工作“种得下去、长得出来、做得出事”。精准对接供需，发挥社区基金会的桥梁纽带作用，做好优秀自治金项目与企业捐赠、基金会资助的供需对接，加大公益项目宣传力度，积极申报参加公益创投比赛。</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强化“家门口”平台功能。</w:t>
      </w:r>
      <w:r>
        <w:rPr>
          <w:rFonts w:hint="eastAsia" w:ascii="仿宋_GB2312" w:hAnsi="仿宋_GB2312" w:eastAsia="仿宋_GB2312" w:cs="仿宋_GB2312"/>
          <w:color w:val="auto"/>
          <w:sz w:val="32"/>
          <w:szCs w:val="32"/>
          <w:lang w:val="en-US" w:eastAsia="zh-CN"/>
        </w:rPr>
        <w:t>打造居民区“家门口”服务站多功能综合平台，以居民需求为工作导向，在为老服务持续提质增效的同时，增加文体、科普等特色项目。积极争取将市、区相关部门的优质资源配送到居民区，指导各居民区分别打造自己的体育特色。在体育项目教练和指导员的种类、时长上有突破，注重服务配送的后期反馈，扩大影响力，形成可操作可持久良性循环。扩大“乐学南风”品牌覆盖面，积极开展“家门口延伸教学”活动，开展体验课、讲座、辅导等活动，实现居村标准化学习点全覆盖。在部分有条件的居民区积极开展科普示范基地创建。拓展企业“家门口”文化服务项目，增强与辖区内经济园区、学校、企业之间的互联互动，针对企业职工需求，在社区学校组织开设“午间一小时”等公益性文化活动，享受家门口服务。</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三）</w:t>
      </w:r>
      <w:r>
        <w:rPr>
          <w:rFonts w:hint="eastAsia" w:ascii="华文楷体" w:hAnsi="华文楷体" w:eastAsia="华文楷体" w:cs="华文楷体"/>
          <w:b/>
          <w:bCs/>
          <w:sz w:val="32"/>
          <w:szCs w:val="32"/>
          <w:lang w:eastAsia="zh-CN"/>
        </w:rPr>
        <w:t>对标生态文明，</w:t>
      </w:r>
      <w:r>
        <w:rPr>
          <w:rFonts w:hint="eastAsia" w:ascii="华文楷体" w:hAnsi="华文楷体" w:eastAsia="华文楷体" w:cs="华文楷体"/>
          <w:b/>
          <w:bCs/>
          <w:sz w:val="32"/>
          <w:szCs w:val="32"/>
        </w:rPr>
        <w:t>加速补齐高</w:t>
      </w:r>
      <w:r>
        <w:rPr>
          <w:rFonts w:hint="eastAsia" w:ascii="华文楷体" w:hAnsi="华文楷体" w:eastAsia="华文楷体" w:cs="华文楷体"/>
          <w:b/>
          <w:bCs/>
          <w:sz w:val="32"/>
          <w:szCs w:val="32"/>
          <w:lang w:eastAsia="zh-CN"/>
        </w:rPr>
        <w:t>品质</w:t>
      </w:r>
      <w:r>
        <w:rPr>
          <w:rFonts w:hint="eastAsia" w:ascii="华文楷体" w:hAnsi="华文楷体" w:eastAsia="华文楷体" w:cs="华文楷体"/>
          <w:b/>
          <w:bCs/>
          <w:sz w:val="32"/>
          <w:szCs w:val="32"/>
        </w:rPr>
        <w:t>发展短板</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狠抓市容环境整治工作。</w:t>
      </w:r>
      <w:r>
        <w:rPr>
          <w:rFonts w:hint="eastAsia" w:ascii="仿宋_GB2312" w:hAnsi="仿宋_GB2312" w:eastAsia="仿宋_GB2312" w:cs="仿宋_GB2312"/>
          <w:color w:val="auto"/>
          <w:sz w:val="32"/>
          <w:szCs w:val="32"/>
          <w:lang w:val="en-US" w:eastAsia="zh-CN"/>
        </w:rPr>
        <w:t>力争市民满意度测评有较大提升，争取排名进入全市街镇中等以上。针对长期影响街道市容环境的非机动车停放、跨门经营等顽症，制定一点一方案，通过挂图作战进行销项式管理，通过拉网式集中整治逐一进行攻克。探索引入新的第三方队伍参与市容管理，建立市场化竞争机制，将绩效考核与实效测评挂钩，明确奖惩标准，促进管理实效提升。攻克商铺垃圾分类清运难点，配合新区废弃物管理中心，全面推动街道商铺生活垃圾分类收运工作，优化辖区商铺垃圾清运流程。</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破解小区物业管理难题。</w:t>
      </w:r>
      <w:r>
        <w:rPr>
          <w:rFonts w:hint="eastAsia" w:ascii="仿宋_GB2312" w:hAnsi="仿宋_GB2312" w:eastAsia="仿宋_GB2312" w:cs="仿宋_GB2312"/>
          <w:color w:val="auto"/>
          <w:sz w:val="32"/>
          <w:szCs w:val="32"/>
          <w:lang w:val="en-US" w:eastAsia="zh-CN"/>
        </w:rPr>
        <w:t>着力打造“红色物业”，加强“业委会、物业企业、居民区”三方联动，切实提升管理效能。严格执行老小区物业达标考核补贴机制，侧重落实基本物业服务是否到位、街道重点工作配合完成度，根据考核结果发放补贴，充分用好考核的指挥棒，奖优惩劣。完善垃圾分类常态化考核监督机制，落实主体责任，建立垃圾箱房定时定点专人值守机制，确保分类工作得实效见长效。改革建筑垃圾清运补贴机制，由原先向物业公司发放改为直接补贴清运企业，解决建筑垃圾清运不及时的老大难问题，提高资金的效用。加强对无物业小区的整治与管理，引导小区居民自我管理，做好托管物业的兜底预案。</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b/>
          <w:bCs/>
          <w:color w:val="auto"/>
          <w:sz w:val="32"/>
          <w:szCs w:val="32"/>
          <w:lang w:val="en-US" w:eastAsia="zh-CN"/>
        </w:rPr>
        <w:t>完成“五违四必”整治清零销项。</w:t>
      </w:r>
      <w:r>
        <w:rPr>
          <w:rFonts w:hint="eastAsia" w:ascii="仿宋_GB2312" w:hAnsi="仿宋_GB2312" w:eastAsia="仿宋_GB2312" w:cs="仿宋_GB2312"/>
          <w:color w:val="auto"/>
          <w:sz w:val="32"/>
          <w:szCs w:val="32"/>
          <w:lang w:val="en-US" w:eastAsia="zh-CN"/>
        </w:rPr>
        <w:t>在有效巩固“五违四必”环境综合治理成果的基础上，完成拆违经营性点位的销项和清库目标。全面开展攻坚拔点行动，推进拆除浦三路花鸟市场等疑难点位，并做</w:t>
      </w:r>
      <w:r>
        <w:rPr>
          <w:rFonts w:hint="eastAsia" w:ascii="仿宋_GB2312" w:hAnsi="仿宋_GB2312" w:eastAsia="仿宋_GB2312" w:cs="仿宋_GB2312"/>
          <w:color w:val="auto"/>
          <w:kern w:val="2"/>
          <w:sz w:val="32"/>
          <w:szCs w:val="32"/>
          <w:lang w:val="en-US" w:eastAsia="zh-CN" w:bidi="ar-SA"/>
        </w:rPr>
        <w:t>好新增违建的管控工</w:t>
      </w:r>
      <w:r>
        <w:rPr>
          <w:rFonts w:hint="eastAsia" w:ascii="仿宋_GB2312" w:hAnsi="仿宋_GB2312" w:eastAsia="仿宋_GB2312" w:cs="仿宋_GB2312"/>
          <w:color w:val="auto"/>
          <w:sz w:val="32"/>
          <w:szCs w:val="32"/>
          <w:lang w:val="en-US" w:eastAsia="zh-CN"/>
        </w:rPr>
        <w:t>作。继续推进小区内环境综合整治，重点推进完成临沂一村、二村拆违和天井封门工作。开展辖区违法建筑大普查，完善上海市无证建筑管理信息系统数据。</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lang w:eastAsia="zh-CN"/>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四）</w:t>
      </w:r>
      <w:r>
        <w:rPr>
          <w:rFonts w:hint="eastAsia" w:ascii="华文楷体" w:hAnsi="华文楷体" w:eastAsia="华文楷体" w:cs="华文楷体"/>
          <w:b/>
          <w:bCs/>
          <w:sz w:val="32"/>
          <w:szCs w:val="32"/>
          <w:lang w:eastAsia="zh-CN"/>
        </w:rPr>
        <w:t>提升智慧管理，探索创新</w:t>
      </w:r>
      <w:r>
        <w:rPr>
          <w:rFonts w:hint="eastAsia" w:ascii="华文楷体" w:hAnsi="华文楷体" w:eastAsia="华文楷体" w:cs="华文楷体"/>
          <w:b/>
          <w:bCs/>
          <w:sz w:val="32"/>
          <w:szCs w:val="32"/>
        </w:rPr>
        <w:t>高</w:t>
      </w:r>
      <w:r>
        <w:rPr>
          <w:rFonts w:hint="eastAsia" w:ascii="华文楷体" w:hAnsi="华文楷体" w:eastAsia="华文楷体" w:cs="华文楷体"/>
          <w:b/>
          <w:bCs/>
          <w:sz w:val="32"/>
          <w:szCs w:val="32"/>
          <w:lang w:eastAsia="zh-CN"/>
        </w:rPr>
        <w:t>品质</w:t>
      </w:r>
      <w:r>
        <w:rPr>
          <w:rFonts w:hint="eastAsia" w:ascii="华文楷体" w:hAnsi="华文楷体" w:eastAsia="华文楷体" w:cs="华文楷体"/>
          <w:b/>
          <w:bCs/>
          <w:sz w:val="32"/>
          <w:szCs w:val="32"/>
        </w:rPr>
        <w:t>发展</w:t>
      </w:r>
      <w:r>
        <w:rPr>
          <w:rFonts w:hint="eastAsia" w:ascii="华文楷体" w:hAnsi="华文楷体" w:eastAsia="华文楷体" w:cs="华文楷体"/>
          <w:b/>
          <w:bCs/>
          <w:sz w:val="32"/>
          <w:szCs w:val="32"/>
          <w:lang w:eastAsia="zh-CN"/>
        </w:rPr>
        <w:t>模式</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推进综治中心与城运中心深度融合。</w:t>
      </w:r>
      <w:r>
        <w:rPr>
          <w:rFonts w:hint="eastAsia" w:ascii="仿宋_GB2312" w:hAnsi="仿宋_GB2312" w:eastAsia="仿宋_GB2312" w:cs="仿宋_GB2312"/>
          <w:color w:val="auto"/>
          <w:sz w:val="32"/>
          <w:szCs w:val="32"/>
          <w:lang w:val="en-US" w:eastAsia="zh-CN"/>
        </w:rPr>
        <w:t>全力打造人机结合、立体联动的“码头门神”系统，通过综合监管、综合执法、综合服务“三大特色模块”，着力提升决策统筹、监控感知、教育动员和平安维护四项能力，进一步从</w:t>
      </w:r>
      <w:r>
        <w:rPr>
          <w:rFonts w:hint="default" w:ascii="仿宋_GB2312" w:hAnsi="仿宋_GB2312" w:eastAsia="仿宋_GB2312" w:cs="仿宋_GB2312"/>
          <w:color w:val="auto"/>
          <w:sz w:val="32"/>
          <w:szCs w:val="32"/>
          <w:lang w:val="en-US" w:eastAsia="zh-CN"/>
        </w:rPr>
        <w:t>城市管理精细化</w:t>
      </w:r>
      <w:r>
        <w:rPr>
          <w:rFonts w:hint="eastAsia" w:ascii="仿宋_GB2312" w:hAnsi="仿宋_GB2312" w:eastAsia="仿宋_GB2312" w:cs="仿宋_GB2312"/>
          <w:color w:val="auto"/>
          <w:sz w:val="32"/>
          <w:szCs w:val="32"/>
          <w:lang w:val="en-US" w:eastAsia="zh-CN"/>
        </w:rPr>
        <w:t>迈</w:t>
      </w:r>
      <w:r>
        <w:rPr>
          <w:rFonts w:hint="default" w:ascii="仿宋_GB2312" w:hAnsi="仿宋_GB2312" w:eastAsia="仿宋_GB2312" w:cs="仿宋_GB2312"/>
          <w:color w:val="auto"/>
          <w:sz w:val="32"/>
          <w:szCs w:val="32"/>
          <w:lang w:val="en-US" w:eastAsia="zh-CN"/>
        </w:rPr>
        <w:t>向城市治理现代化。</w:t>
      </w:r>
      <w:r>
        <w:rPr>
          <w:rFonts w:hint="eastAsia" w:ascii="仿宋_GB2312" w:hAnsi="仿宋_GB2312" w:eastAsia="仿宋_GB2312" w:cs="仿宋_GB2312"/>
          <w:color w:val="auto"/>
          <w:sz w:val="32"/>
          <w:szCs w:val="32"/>
          <w:lang w:val="en-US" w:eastAsia="zh-CN"/>
        </w:rPr>
        <w:t>优化信息集散功能，实现</w:t>
      </w:r>
      <w:r>
        <w:rPr>
          <w:rFonts w:hint="default" w:ascii="仿宋_GB2312" w:hAnsi="仿宋_GB2312" w:eastAsia="仿宋_GB2312" w:cs="仿宋_GB2312"/>
          <w:color w:val="auto"/>
          <w:sz w:val="32"/>
          <w:szCs w:val="32"/>
          <w:lang w:val="en-US" w:eastAsia="zh-CN"/>
        </w:rPr>
        <w:t>政务信息共联共享，提升综合信息的研判能力，各类事件、疑难问题的发现、处置能力，城市运行“一网统管”</w:t>
      </w:r>
      <w:r>
        <w:rPr>
          <w:rFonts w:hint="eastAsia" w:ascii="仿宋_GB2312" w:hAnsi="仿宋_GB2312" w:eastAsia="仿宋_GB2312" w:cs="仿宋_GB2312"/>
          <w:sz w:val="32"/>
          <w:szCs w:val="32"/>
          <w:vertAlign w:val="superscript"/>
          <w:lang w:val="en-US" w:eastAsia="zh-CN"/>
        </w:rPr>
        <w:t>14</w:t>
      </w:r>
      <w:r>
        <w:rPr>
          <w:rFonts w:hint="eastAsia" w:ascii="仿宋_GB2312" w:hAnsi="仿宋_GB2312" w:eastAsia="仿宋_GB2312" w:cs="仿宋_GB2312"/>
          <w:color w:val="auto"/>
          <w:sz w:val="32"/>
          <w:szCs w:val="32"/>
          <w:lang w:val="en-US" w:eastAsia="zh-CN"/>
        </w:rPr>
        <w:t>持续提升</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通过布局</w:t>
      </w:r>
      <w:r>
        <w:rPr>
          <w:rFonts w:hint="default" w:ascii="仿宋_GB2312" w:hAnsi="仿宋_GB2312" w:eastAsia="仿宋_GB2312" w:cs="仿宋_GB2312"/>
          <w:color w:val="auto"/>
          <w:sz w:val="32"/>
          <w:szCs w:val="32"/>
          <w:lang w:val="en-US" w:eastAsia="zh-CN"/>
        </w:rPr>
        <w:t>高清探头</w:t>
      </w:r>
      <w:r>
        <w:rPr>
          <w:rFonts w:hint="eastAsia" w:ascii="仿宋_GB2312" w:hAnsi="仿宋_GB2312" w:eastAsia="仿宋_GB2312" w:cs="仿宋_GB2312"/>
          <w:color w:val="auto"/>
          <w:sz w:val="32"/>
          <w:szCs w:val="32"/>
          <w:lang w:val="en-US" w:eastAsia="zh-CN"/>
        </w:rPr>
        <w:t>等</w:t>
      </w:r>
      <w:r>
        <w:rPr>
          <w:rFonts w:hint="default" w:ascii="仿宋_GB2312" w:hAnsi="仿宋_GB2312" w:eastAsia="仿宋_GB2312" w:cs="仿宋_GB2312"/>
          <w:color w:val="auto"/>
          <w:sz w:val="32"/>
          <w:szCs w:val="32"/>
          <w:lang w:val="en-US" w:eastAsia="zh-CN"/>
        </w:rPr>
        <w:t>前端现代化感知设备技术手段</w:t>
      </w:r>
      <w:r>
        <w:rPr>
          <w:rFonts w:hint="eastAsia" w:ascii="仿宋_GB2312" w:hAnsi="仿宋_GB2312" w:eastAsia="仿宋_GB2312" w:cs="仿宋_GB2312"/>
          <w:color w:val="auto"/>
          <w:sz w:val="32"/>
          <w:szCs w:val="32"/>
          <w:lang w:val="en-US" w:eastAsia="zh-CN"/>
        </w:rPr>
        <w:t>，提升</w:t>
      </w:r>
      <w:r>
        <w:rPr>
          <w:rFonts w:hint="default" w:ascii="仿宋_GB2312" w:hAnsi="仿宋_GB2312" w:eastAsia="仿宋_GB2312" w:cs="仿宋_GB2312"/>
          <w:color w:val="auto"/>
          <w:sz w:val="32"/>
          <w:szCs w:val="32"/>
          <w:lang w:val="en-US" w:eastAsia="zh-CN"/>
        </w:rPr>
        <w:t>全天候、全覆盖、全方位巡查</w:t>
      </w:r>
      <w:r>
        <w:rPr>
          <w:rFonts w:hint="eastAsia" w:ascii="仿宋_GB2312" w:hAnsi="仿宋_GB2312" w:eastAsia="仿宋_GB2312" w:cs="仿宋_GB2312"/>
          <w:color w:val="auto"/>
          <w:sz w:val="32"/>
          <w:szCs w:val="32"/>
          <w:lang w:val="en-US" w:eastAsia="zh-CN"/>
        </w:rPr>
        <w:t>能力</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升级</w:t>
      </w:r>
      <w:r>
        <w:rPr>
          <w:rFonts w:hint="default" w:ascii="仿宋_GB2312" w:hAnsi="仿宋_GB2312" w:eastAsia="仿宋_GB2312" w:cs="仿宋_GB2312"/>
          <w:color w:val="auto"/>
          <w:sz w:val="32"/>
          <w:szCs w:val="32"/>
          <w:lang w:val="en-US" w:eastAsia="zh-CN"/>
        </w:rPr>
        <w:t>可视化指挥和图像的结构化</w:t>
      </w:r>
      <w:r>
        <w:rPr>
          <w:rFonts w:hint="eastAsia" w:ascii="仿宋_GB2312" w:hAnsi="仿宋_GB2312" w:eastAsia="仿宋_GB2312" w:cs="仿宋_GB2312"/>
          <w:color w:val="auto"/>
          <w:sz w:val="32"/>
          <w:szCs w:val="32"/>
          <w:lang w:val="en-US" w:eastAsia="zh-CN"/>
        </w:rPr>
        <w:t>分析水平。</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提升城运平台运行效率。</w:t>
      </w:r>
      <w:r>
        <w:rPr>
          <w:rFonts w:hint="eastAsia" w:ascii="仿宋_GB2312" w:hAnsi="仿宋_GB2312" w:eastAsia="仿宋_GB2312" w:cs="仿宋_GB2312"/>
          <w:color w:val="auto"/>
          <w:kern w:val="2"/>
          <w:sz w:val="32"/>
          <w:szCs w:val="32"/>
          <w:lang w:val="en-US" w:eastAsia="zh-CN" w:bidi="ar-SA"/>
        </w:rPr>
        <w:t>进一步完善重复工单、不满意工单督办制度，狠抓工单办理质量，落实分级督办机制。完善疑难工单处置流程，继续做实</w:t>
      </w:r>
      <w:r>
        <w:rPr>
          <w:rFonts w:hint="default" w:ascii="仿宋_GB2312" w:hAnsi="仿宋_GB2312" w:eastAsia="仿宋_GB2312" w:cs="仿宋_GB2312"/>
          <w:color w:val="auto"/>
          <w:kern w:val="2"/>
          <w:sz w:val="32"/>
          <w:szCs w:val="32"/>
          <w:lang w:val="en-US" w:eastAsia="zh-CN" w:bidi="ar-SA"/>
        </w:rPr>
        <w:t>行政党组会议</w:t>
      </w:r>
      <w:r>
        <w:rPr>
          <w:rFonts w:hint="eastAsia" w:ascii="仿宋_GB2312" w:hAnsi="仿宋_GB2312" w:eastAsia="仿宋_GB2312" w:cs="仿宋_GB2312"/>
          <w:color w:val="auto"/>
          <w:kern w:val="2"/>
          <w:sz w:val="32"/>
          <w:szCs w:val="32"/>
          <w:lang w:val="en-US" w:eastAsia="zh-CN" w:bidi="ar-SA"/>
        </w:rPr>
        <w:t>工作制度，适当</w:t>
      </w:r>
      <w:r>
        <w:rPr>
          <w:rFonts w:hint="default" w:ascii="仿宋_GB2312" w:hAnsi="仿宋_GB2312" w:eastAsia="仿宋_GB2312" w:cs="仿宋_GB2312"/>
          <w:color w:val="auto"/>
          <w:kern w:val="2"/>
          <w:sz w:val="32"/>
          <w:szCs w:val="32"/>
          <w:lang w:val="en-US" w:eastAsia="zh-CN" w:bidi="ar-SA"/>
        </w:rPr>
        <w:t>扩大议题的覆盖面</w:t>
      </w:r>
      <w:r>
        <w:rPr>
          <w:rFonts w:hint="default"/>
          <w:lang w:val="en-US" w:eastAsia="zh-CN"/>
        </w:rPr>
        <w:t>，</w:t>
      </w:r>
      <w:r>
        <w:rPr>
          <w:rFonts w:hint="eastAsia" w:ascii="仿宋_GB2312" w:hAnsi="仿宋_GB2312" w:eastAsia="仿宋_GB2312" w:cs="仿宋_GB2312"/>
          <w:color w:val="auto"/>
          <w:kern w:val="2"/>
          <w:sz w:val="32"/>
          <w:szCs w:val="32"/>
          <w:lang w:val="en-US" w:eastAsia="zh-CN" w:bidi="ar-SA"/>
        </w:rPr>
        <w:t>进一步厘清并细化职责不明晰工单的处置责任。</w:t>
      </w:r>
      <w:r>
        <w:rPr>
          <w:rFonts w:hint="default" w:ascii="仿宋_GB2312" w:hAnsi="仿宋_GB2312" w:eastAsia="仿宋_GB2312" w:cs="仿宋_GB2312"/>
          <w:color w:val="auto"/>
          <w:kern w:val="2"/>
          <w:sz w:val="32"/>
          <w:szCs w:val="32"/>
          <w:lang w:val="en-US" w:eastAsia="zh-CN" w:bidi="ar-SA"/>
        </w:rPr>
        <w:t>加强人员培训</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通过业务专员带信息员的形式，传授先进经验，增进团队互动，</w:t>
      </w:r>
      <w:r>
        <w:rPr>
          <w:rFonts w:hint="eastAsia" w:ascii="仿宋_GB2312" w:hAnsi="仿宋_GB2312" w:eastAsia="仿宋_GB2312" w:cs="仿宋_GB2312"/>
          <w:color w:val="auto"/>
          <w:kern w:val="2"/>
          <w:sz w:val="32"/>
          <w:szCs w:val="32"/>
          <w:lang w:val="en-US" w:eastAsia="zh-CN" w:bidi="ar-SA"/>
        </w:rPr>
        <w:t>培养</w:t>
      </w:r>
      <w:r>
        <w:rPr>
          <w:rFonts w:hint="default" w:ascii="仿宋_GB2312" w:hAnsi="仿宋_GB2312" w:eastAsia="仿宋_GB2312" w:cs="仿宋_GB2312"/>
          <w:color w:val="auto"/>
          <w:kern w:val="2"/>
          <w:sz w:val="32"/>
          <w:szCs w:val="32"/>
          <w:lang w:val="en-US" w:eastAsia="zh-CN" w:bidi="ar-SA"/>
        </w:rPr>
        <w:t>优秀人才</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建立一支</w:t>
      </w:r>
      <w:r>
        <w:rPr>
          <w:rFonts w:hint="eastAsia" w:ascii="仿宋_GB2312" w:hAnsi="仿宋_GB2312" w:eastAsia="仿宋_GB2312" w:cs="仿宋_GB2312"/>
          <w:color w:val="auto"/>
          <w:kern w:val="2"/>
          <w:sz w:val="32"/>
          <w:szCs w:val="32"/>
          <w:lang w:val="en-US" w:eastAsia="zh-CN" w:bidi="ar-SA"/>
        </w:rPr>
        <w:t>管理</w:t>
      </w:r>
      <w:r>
        <w:rPr>
          <w:rFonts w:hint="default" w:ascii="仿宋_GB2312" w:hAnsi="仿宋_GB2312" w:eastAsia="仿宋_GB2312" w:cs="仿宋_GB2312"/>
          <w:color w:val="auto"/>
          <w:kern w:val="2"/>
          <w:sz w:val="32"/>
          <w:szCs w:val="32"/>
          <w:lang w:val="en-US" w:eastAsia="zh-CN" w:bidi="ar-SA"/>
        </w:rPr>
        <w:t>问题发现</w:t>
      </w:r>
      <w:r>
        <w:rPr>
          <w:rFonts w:hint="eastAsia" w:ascii="仿宋_GB2312" w:hAnsi="仿宋_GB2312" w:eastAsia="仿宋_GB2312" w:cs="仿宋_GB2312"/>
          <w:color w:val="auto"/>
          <w:kern w:val="2"/>
          <w:sz w:val="32"/>
          <w:szCs w:val="32"/>
          <w:lang w:val="en-US" w:eastAsia="zh-CN" w:bidi="ar-SA"/>
        </w:rPr>
        <w:t>及时、</w:t>
      </w:r>
      <w:r>
        <w:rPr>
          <w:rFonts w:hint="default" w:ascii="仿宋_GB2312" w:hAnsi="仿宋_GB2312" w:eastAsia="仿宋_GB2312" w:cs="仿宋_GB2312"/>
          <w:color w:val="auto"/>
          <w:kern w:val="2"/>
          <w:sz w:val="32"/>
          <w:szCs w:val="32"/>
          <w:lang w:val="en-US" w:eastAsia="zh-CN" w:bidi="ar-SA"/>
        </w:rPr>
        <w:t>快速响应</w:t>
      </w:r>
      <w:r>
        <w:rPr>
          <w:rFonts w:hint="eastAsia" w:ascii="仿宋_GB2312" w:hAnsi="仿宋_GB2312" w:eastAsia="仿宋_GB2312" w:cs="仿宋_GB2312"/>
          <w:color w:val="auto"/>
          <w:kern w:val="2"/>
          <w:sz w:val="32"/>
          <w:szCs w:val="32"/>
          <w:lang w:val="en-US" w:eastAsia="zh-CN" w:bidi="ar-SA"/>
        </w:rPr>
        <w:t>处置到位的专项队伍</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推进智慧管理模块建设和应用。</w:t>
      </w:r>
      <w:r>
        <w:rPr>
          <w:rFonts w:hint="eastAsia" w:ascii="仿宋_GB2312" w:hAnsi="仿宋_GB2312" w:eastAsia="仿宋_GB2312" w:cs="仿宋_GB2312"/>
          <w:color w:val="auto"/>
          <w:kern w:val="2"/>
          <w:sz w:val="32"/>
          <w:szCs w:val="32"/>
          <w:lang w:val="en-US" w:eastAsia="zh-CN" w:bidi="ar-SA"/>
        </w:rPr>
        <w:t>按照社会治理体系和治理能力现代化的要求，梳理智慧社区在应用环节上的短板和盲点，研究流程再造的发力点，推进智能综合管理平台2.0标准版落地实施。拓展食品安全智能化监管平台建设，针对辖区集体用餐单位食堂食品安全管理水平参差不齐，安全隐患长期存在的情况，探索建立一套集食品安全监管数据采集、全流程监控、智能分析应用的系统，树立食品安全第一责任人落实食品安全制度的意识，实现政府部门立知立查、使用单位立知立改的智慧化高效监管。</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仿宋" w:hAnsi="华文仿宋" w:eastAsia="华文仿宋" w:cs="华文仿宋"/>
          <w:b w:val="0"/>
          <w:bCs w:val="0"/>
          <w:sz w:val="32"/>
          <w:szCs w:val="32"/>
          <w:lang w:val="en-US" w:eastAsia="zh-CN"/>
        </w:rPr>
      </w:pPr>
      <w:r>
        <w:rPr>
          <w:rFonts w:hint="eastAsia" w:ascii="华文楷体" w:hAnsi="华文楷体" w:eastAsia="华文楷体" w:cs="华文楷体"/>
          <w:b/>
          <w:bCs/>
          <w:sz w:val="32"/>
          <w:szCs w:val="32"/>
          <w:lang w:val="en-US" w:eastAsia="zh-CN"/>
        </w:rPr>
        <w:t>（五）</w:t>
      </w:r>
      <w:r>
        <w:rPr>
          <w:rFonts w:hint="eastAsia" w:ascii="华文楷体" w:hAnsi="华文楷体" w:eastAsia="华文楷体" w:cs="华文楷体"/>
          <w:b/>
          <w:bCs/>
          <w:sz w:val="32"/>
          <w:szCs w:val="32"/>
          <w:lang w:eastAsia="zh-CN"/>
        </w:rPr>
        <w:t>坚守安全底线</w:t>
      </w:r>
      <w:r>
        <w:rPr>
          <w:rFonts w:hint="eastAsia" w:ascii="华文楷体" w:hAnsi="华文楷体" w:eastAsia="华文楷体" w:cs="华文楷体"/>
          <w:b/>
          <w:bCs/>
          <w:sz w:val="32"/>
          <w:szCs w:val="32"/>
          <w:lang w:val="en-US" w:eastAsia="zh-CN"/>
        </w:rPr>
        <w:t>，</w:t>
      </w:r>
      <w:r>
        <w:rPr>
          <w:rFonts w:hint="eastAsia" w:ascii="华文楷体" w:hAnsi="华文楷体" w:eastAsia="华文楷体" w:cs="华文楷体"/>
          <w:b/>
          <w:bCs/>
          <w:sz w:val="32"/>
          <w:szCs w:val="32"/>
          <w:lang w:eastAsia="zh-CN"/>
        </w:rPr>
        <w:t>有效筑牢高品质发展基石</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层层压实责任，推进平安社区建设。</w:t>
      </w:r>
      <w:r>
        <w:rPr>
          <w:rFonts w:hint="eastAsia" w:ascii="仿宋_GB2312" w:hAnsi="仿宋_GB2312" w:eastAsia="仿宋_GB2312" w:cs="仿宋_GB2312"/>
          <w:color w:val="auto"/>
          <w:sz w:val="32"/>
          <w:szCs w:val="32"/>
          <w:lang w:val="en-US" w:eastAsia="zh-CN"/>
        </w:rPr>
        <w:t>推进扫黑除恶专项斗争向纵深发展，加强源头治理、综合整治，扫除黑恶势力的根基，加强对辖区内娱乐场所、民宿、家庭影院、菜市场、“套路贷”的排查力度，全力整治各种行业乱象及“隐形”黑恶势力。推进社区智能安防建设，协调新区对56个老旧封闭居民住宅小区安防设施进行改建，加装高清探头、智能道闸、人行通道控制等智能化安防系统；在商品房小区开展智能安防建设试点，与“智慧公安”、城运中心实现互联互通。紧盯电信诈骗、入室盗窃、盗三车等严重影响群众安全感的案件，优化“打防管控”一体化措施，全面降低警情。力争实现年内10%以上居委创成“零发案”居委，不低于80%的居委可防性案件发案数同比下降，居民安全感、满意度双双跻身新区前10。</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宋体" w:eastAsia="仿宋_GB2312"/>
          <w:sz w:val="32"/>
          <w:szCs w:val="32"/>
        </w:rPr>
      </w:pPr>
      <w:r>
        <w:rPr>
          <w:rFonts w:hint="eastAsia" w:ascii="仿宋_GB2312" w:hAnsi="仿宋_GB2312" w:eastAsia="仿宋_GB2312" w:cs="仿宋_GB2312"/>
          <w:b/>
          <w:bCs/>
          <w:color w:val="auto"/>
          <w:sz w:val="32"/>
          <w:szCs w:val="32"/>
          <w:lang w:val="en-US" w:eastAsia="zh-CN"/>
        </w:rPr>
        <w:t>重视化解矛盾，推进和谐社区建设。</w:t>
      </w:r>
      <w:r>
        <w:rPr>
          <w:rFonts w:hint="eastAsia" w:ascii="仿宋_GB2312" w:hAnsi="仿宋_GB2312" w:eastAsia="仿宋_GB2312" w:cs="仿宋_GB2312"/>
          <w:color w:val="auto"/>
          <w:sz w:val="32"/>
          <w:szCs w:val="32"/>
          <w:lang w:val="en-US" w:eastAsia="zh-CN"/>
        </w:rPr>
        <w:t>落实首接责任制、首办责任制，用好智能化手段，第一时间有效处置。从减少增量入手，把好“第一道关口”，及时回应群众来信、来访。从积案化解入手，打好矛盾化解攻坚战。运用法治思维和法治方式处理问题化解矛盾，充分发挥司法信访综合服务窗口、“110”司法公安联动窗口、法律援助窗口等平台作用，进一步强化办事依法、遇事找法、解决问题用法、化解矛盾靠法的理念。对患有精神疾病、“三无”、上访、生活困难以及存在重大不稳定隐患等五类特殊对象，跨前一步，联合卫生、信访、民政、公安等相关部门落实工作措施，将矛盾隐患消灭在萌芽状态。</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宋体" w:eastAsia="仿宋_GB2312" w:cs="Times New Roman"/>
          <w:sz w:val="32"/>
          <w:szCs w:val="32"/>
          <w:lang w:val="en-US" w:eastAsia="zh-CN"/>
        </w:rPr>
      </w:pPr>
      <w:r>
        <w:rPr>
          <w:rFonts w:hint="eastAsia" w:ascii="仿宋_GB2312" w:hAnsi="仿宋_GB2312" w:eastAsia="仿宋_GB2312" w:cs="仿宋_GB2312"/>
          <w:b/>
          <w:bCs/>
          <w:color w:val="auto"/>
          <w:sz w:val="32"/>
          <w:szCs w:val="32"/>
          <w:lang w:val="en-US" w:eastAsia="zh-CN"/>
        </w:rPr>
        <w:t>坚持依法治理，推进法治社区建设。</w:t>
      </w:r>
      <w:r>
        <w:rPr>
          <w:rFonts w:hint="eastAsia" w:ascii="仿宋_GB2312" w:hAnsi="仿宋_GB2312" w:eastAsia="仿宋_GB2312" w:cs="仿宋_GB2312"/>
          <w:color w:val="auto"/>
          <w:sz w:val="32"/>
          <w:szCs w:val="32"/>
          <w:lang w:val="en-US" w:eastAsia="zh-CN"/>
        </w:rPr>
        <w:t>继续将街道层面的法律服务资源向居民区延伸，发挥好社区法律服务工作者的作用，发动社会多元主体参与社区法治建设。围绕全局工作和重点领域，有效发挥法治宣传教育职能，打牢基层民主法治建设的基础，健全普法协调协作机制。关注涉及群众切身利益的热点，集中开展专项法治宣传活动。围绕重点人群和特殊对象，提升老人、妇女等弱势群体的依法维权意识，做好特殊群体的法治警示教育。运用“互联网+”优势，形成传统渠道与新兴媒体相呼应、线上线下一体化格局，进一步提升法治社区建设的渗透力和影响力。</w:t>
      </w:r>
    </w:p>
    <w:p>
      <w:pPr>
        <w:keepNext w:val="0"/>
        <w:keepLines w:val="0"/>
        <w:pageBreakBefore w:val="0"/>
        <w:widowControl w:val="0"/>
        <w:wordWrap/>
        <w:topLinePunct w:val="0"/>
        <w:bidi w:val="0"/>
        <w:adjustRightInd w:val="0"/>
        <w:snapToGrid w:val="0"/>
        <w:spacing w:line="560" w:lineRule="exact"/>
        <w:ind w:left="-420" w:leftChars="-200" w:right="-420" w:rightChars="-200" w:firstLine="641" w:firstLineChars="200"/>
        <w:textAlignment w:val="auto"/>
        <w:rPr>
          <w:rFonts w:hint="eastAsia" w:ascii="华文楷体" w:hAnsi="华文楷体" w:eastAsia="华文楷体" w:cs="华文楷体"/>
          <w:b/>
          <w:bCs/>
          <w:sz w:val="32"/>
          <w:szCs w:val="32"/>
          <w:lang w:eastAsia="zh-CN"/>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六）</w:t>
      </w:r>
      <w:r>
        <w:rPr>
          <w:rFonts w:hint="eastAsia" w:ascii="华文楷体" w:hAnsi="华文楷体" w:eastAsia="华文楷体" w:cs="华文楷体"/>
          <w:b/>
          <w:bCs/>
          <w:sz w:val="32"/>
          <w:szCs w:val="32"/>
          <w:lang w:eastAsia="zh-CN"/>
        </w:rPr>
        <w:t>聚焦</w:t>
      </w:r>
      <w:r>
        <w:rPr>
          <w:rFonts w:hint="eastAsia" w:ascii="华文楷体" w:hAnsi="华文楷体" w:eastAsia="华文楷体" w:cs="华文楷体"/>
          <w:b/>
          <w:bCs/>
          <w:sz w:val="32"/>
          <w:szCs w:val="32"/>
        </w:rPr>
        <w:t>宜居宜业，</w:t>
      </w:r>
      <w:r>
        <w:rPr>
          <w:rFonts w:hint="eastAsia" w:ascii="华文楷体" w:hAnsi="华文楷体" w:eastAsia="华文楷体" w:cs="华文楷体"/>
          <w:b/>
          <w:bCs/>
          <w:sz w:val="32"/>
          <w:szCs w:val="32"/>
          <w:lang w:eastAsia="zh-CN"/>
        </w:rPr>
        <w:t>全力</w:t>
      </w:r>
      <w:r>
        <w:rPr>
          <w:rFonts w:hint="eastAsia" w:ascii="华文楷体" w:hAnsi="华文楷体" w:eastAsia="华文楷体" w:cs="华文楷体"/>
          <w:b/>
          <w:bCs/>
          <w:sz w:val="32"/>
          <w:szCs w:val="32"/>
          <w:lang w:val="en-US" w:eastAsia="zh-CN"/>
        </w:rPr>
        <w:t>塑造</w:t>
      </w:r>
      <w:r>
        <w:rPr>
          <w:rFonts w:hint="eastAsia" w:ascii="华文楷体" w:hAnsi="华文楷体" w:eastAsia="华文楷体" w:cs="华文楷体"/>
          <w:b/>
          <w:bCs/>
          <w:sz w:val="32"/>
          <w:szCs w:val="32"/>
        </w:rPr>
        <w:t>高</w:t>
      </w:r>
      <w:r>
        <w:rPr>
          <w:rFonts w:hint="eastAsia" w:ascii="华文楷体" w:hAnsi="华文楷体" w:eastAsia="华文楷体" w:cs="华文楷体"/>
          <w:b/>
          <w:bCs/>
          <w:sz w:val="32"/>
          <w:szCs w:val="32"/>
          <w:lang w:eastAsia="zh-CN"/>
        </w:rPr>
        <w:t>品质</w:t>
      </w:r>
      <w:r>
        <w:rPr>
          <w:rFonts w:hint="eastAsia" w:ascii="华文楷体" w:hAnsi="华文楷体" w:eastAsia="华文楷体" w:cs="华文楷体"/>
          <w:b/>
          <w:bCs/>
          <w:sz w:val="32"/>
          <w:szCs w:val="32"/>
        </w:rPr>
        <w:t>发展</w:t>
      </w:r>
      <w:r>
        <w:rPr>
          <w:rFonts w:hint="eastAsia" w:ascii="华文楷体" w:hAnsi="华文楷体" w:eastAsia="华文楷体" w:cs="华文楷体"/>
          <w:b/>
          <w:bCs/>
          <w:sz w:val="32"/>
          <w:szCs w:val="32"/>
          <w:lang w:eastAsia="zh-CN"/>
        </w:rPr>
        <w:t>品牌</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 w:eastAsia="仿宋_GB2312"/>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打造幸福和谐新码头。</w:t>
      </w:r>
      <w:r>
        <w:rPr>
          <w:rFonts w:hint="eastAsia" w:ascii="仿宋_GB2312" w:hAnsi="仿宋_GB2312" w:eastAsia="仿宋_GB2312" w:cs="仿宋_GB2312"/>
          <w:color w:val="auto"/>
          <w:sz w:val="32"/>
          <w:szCs w:val="32"/>
          <w:u w:val="none"/>
          <w:lang w:val="en-US" w:eastAsia="zh-CN"/>
        </w:rPr>
        <w:t>持续巩固园林街镇创建成果，推进美丽家园建设，扩大公园绿地覆盖，提升道路绿化品质，加大立体绿化建设，持续注重绿化养护。全力完成临沂六村等老旧小区综合整新工程。</w:t>
      </w:r>
      <w:r>
        <w:rPr>
          <w:rFonts w:hint="eastAsia" w:ascii="仿宋_GB2312" w:hAnsi="仿宋" w:eastAsia="仿宋_GB2312"/>
          <w:sz w:val="32"/>
          <w:szCs w:val="32"/>
          <w:u w:val="none"/>
          <w:lang w:val="en-US" w:eastAsia="zh-CN"/>
        </w:rPr>
        <w:t>按照“宜居乐享，温馨如家”的建设要求，</w:t>
      </w:r>
      <w:r>
        <w:rPr>
          <w:rFonts w:hint="eastAsia" w:ascii="仿宋_GB2312" w:hAnsi="仿宋_GB2312" w:eastAsia="仿宋_GB2312" w:cs="仿宋_GB2312"/>
          <w:color w:val="auto"/>
          <w:sz w:val="32"/>
          <w:szCs w:val="32"/>
          <w:u w:val="none"/>
          <w:lang w:val="en-US" w:eastAsia="zh-CN"/>
        </w:rPr>
        <w:t>重点做好临沂二村</w:t>
      </w:r>
      <w:r>
        <w:rPr>
          <w:rFonts w:hint="eastAsia" w:ascii="仿宋_GB2312" w:hAnsi="仿宋" w:eastAsia="仿宋_GB2312"/>
          <w:sz w:val="32"/>
          <w:szCs w:val="32"/>
          <w:u w:val="none"/>
          <w:lang w:val="en-US" w:eastAsia="zh-CN"/>
        </w:rPr>
        <w:t>高标准示范小区试点工作。</w:t>
      </w:r>
      <w:r>
        <w:rPr>
          <w:rFonts w:hint="eastAsia" w:ascii="仿宋_GB2312" w:hAnsi="仿宋_GB2312" w:eastAsia="仿宋_GB2312" w:cs="仿宋_GB2312"/>
          <w:color w:val="auto"/>
          <w:sz w:val="32"/>
          <w:szCs w:val="32"/>
          <w:u w:val="none"/>
          <w:lang w:val="en-US" w:eastAsia="zh-CN"/>
        </w:rPr>
        <w:t>聚焦道路过窄、健身设施较少等十大突出问题，</w:t>
      </w:r>
      <w:r>
        <w:rPr>
          <w:rFonts w:hint="eastAsia" w:ascii="仿宋_GB2312" w:hAnsi="仿宋" w:eastAsia="仿宋_GB2312"/>
          <w:sz w:val="32"/>
          <w:szCs w:val="32"/>
          <w:u w:val="none"/>
          <w:lang w:val="en-US" w:eastAsia="zh-CN"/>
        </w:rPr>
        <w:t>通过社区</w:t>
      </w:r>
      <w:r>
        <w:rPr>
          <w:rFonts w:hint="eastAsia" w:ascii="仿宋_GB2312" w:hAnsi="仿宋_GB2312" w:eastAsia="仿宋_GB2312" w:cs="仿宋_GB2312"/>
          <w:color w:val="auto"/>
          <w:sz w:val="32"/>
          <w:szCs w:val="32"/>
          <w:u w:val="none"/>
          <w:lang w:val="en-US" w:eastAsia="zh-CN"/>
        </w:rPr>
        <w:t>居民的充分参与，改善小区环境，重塑社区活动空间，促进居民互动，拉近邻里关系，提升居民幸福感</w:t>
      </w:r>
      <w:r>
        <w:rPr>
          <w:rFonts w:hint="eastAsia" w:ascii="仿宋_GB2312" w:hAnsi="仿宋" w:eastAsia="仿宋_GB2312"/>
          <w:sz w:val="32"/>
          <w:szCs w:val="32"/>
          <w:u w:val="none"/>
          <w:lang w:val="en-US" w:eastAsia="zh-CN"/>
        </w:rPr>
        <w:t>。</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形成创业型社区新模式。</w:t>
      </w:r>
      <w:r>
        <w:rPr>
          <w:rFonts w:hint="eastAsia" w:ascii="仿宋_GB2312" w:hAnsi="仿宋_GB2312" w:eastAsia="仿宋_GB2312" w:cs="仿宋_GB2312"/>
          <w:color w:val="auto"/>
          <w:sz w:val="32"/>
          <w:szCs w:val="32"/>
          <w:u w:val="none"/>
          <w:lang w:val="en-US" w:eastAsia="zh-CN"/>
        </w:rPr>
        <w:t>积极探索“1＋5”创业社区新模式。围绕南码头5个都市型园区，挖掘资源，加强合作，形成具有南码头特色的园区创业品牌。建一个创业孵化基地，加强</w:t>
      </w:r>
      <w:r>
        <w:rPr>
          <w:rFonts w:hint="eastAsia" w:ascii="仿宋_GB2312" w:hAnsi="仿宋_GB2312" w:eastAsia="仿宋_GB2312" w:cs="仿宋_GB2312"/>
          <w:color w:val="auto"/>
          <w:sz w:val="32"/>
          <w:szCs w:val="32"/>
          <w:u w:val="none"/>
        </w:rPr>
        <w:t>“家门口”创业服务</w:t>
      </w:r>
      <w:r>
        <w:rPr>
          <w:rFonts w:hint="eastAsia" w:ascii="仿宋_GB2312" w:hAnsi="仿宋_GB2312" w:eastAsia="仿宋_GB2312" w:cs="仿宋_GB2312"/>
          <w:color w:val="auto"/>
          <w:sz w:val="32"/>
          <w:szCs w:val="32"/>
          <w:u w:val="none"/>
          <w:lang w:val="en-US" w:eastAsia="zh-CN"/>
        </w:rPr>
        <w:t>；树一个创业典型，加强氛围营造；搭一个创业服务平台，加强服务供给；形成一个创业服务机制，加强统筹协调；优化一项创就业扶持政策，加强扶持力度。</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探索安商稳商新路径。</w:t>
      </w:r>
      <w:r>
        <w:rPr>
          <w:rFonts w:hint="eastAsia" w:ascii="仿宋_GB2312" w:hAnsi="仿宋_GB2312" w:eastAsia="仿宋_GB2312" w:cs="仿宋_GB2312"/>
          <w:color w:val="auto"/>
          <w:sz w:val="32"/>
          <w:szCs w:val="32"/>
          <w:lang w:val="en-US" w:eastAsia="zh-CN"/>
        </w:rPr>
        <w:t>加强与世博管委会在投资促进、安商稳商工作方面的联手联动，在信息、资源等方面建立共享共用机制，助力要素集聚之后的聚合聚变，引导地域企业间形成新生态。通过企业大调研和座谈会等方式，及时了解企业发展动向，掌握企业痛点、堵点、难点问题，做好后续跟踪服务。发挥“四好商会”的影响力和号召力，积极吸收各类企业入会，今年商会会员数量争取达到80—100家。围绕企业需求，提升专业服务能力，引入第三方专业服务机构，在专业培训、学术交流、商务考察等方面为辖区重点企业开展全方位对接服务，赋能企业发展，助推企业转型升级。</w:t>
      </w:r>
    </w:p>
    <w:p>
      <w:pPr>
        <w:keepNext w:val="0"/>
        <w:keepLines w:val="0"/>
        <w:pageBreakBefore w:val="0"/>
        <w:widowControl w:val="0"/>
        <w:wordWrap/>
        <w:topLinePunct w:val="0"/>
        <w:bidi w:val="0"/>
        <w:adjustRightInd w:val="0"/>
        <w:snapToGrid w:val="0"/>
        <w:spacing w:line="560" w:lineRule="exact"/>
        <w:ind w:right="-420" w:rightChars="-200"/>
        <w:textAlignment w:val="auto"/>
        <w:rPr>
          <w:rFonts w:hint="eastAsia" w:ascii="华文楷体" w:hAnsi="华文楷体" w:eastAsia="华文楷体" w:cs="华文楷体"/>
          <w:b/>
          <w:bCs/>
          <w:sz w:val="32"/>
          <w:szCs w:val="32"/>
          <w:lang w:eastAsia="zh-CN"/>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七）</w:t>
      </w:r>
      <w:r>
        <w:rPr>
          <w:rFonts w:hint="eastAsia" w:ascii="华文楷体" w:hAnsi="华文楷体" w:eastAsia="华文楷体" w:cs="华文楷体"/>
          <w:b/>
          <w:bCs/>
          <w:sz w:val="32"/>
          <w:szCs w:val="32"/>
          <w:lang w:eastAsia="zh-CN"/>
        </w:rPr>
        <w:t>优化服务效能，加快完善政府自身建设</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与时俱进，提升法治公信度。</w:t>
      </w:r>
      <w:r>
        <w:rPr>
          <w:rFonts w:hint="eastAsia" w:ascii="仿宋_GB2312" w:hAnsi="仿宋_GB2312" w:eastAsia="仿宋_GB2312" w:cs="仿宋_GB2312"/>
          <w:color w:val="auto"/>
          <w:sz w:val="32"/>
          <w:szCs w:val="32"/>
          <w:lang w:val="en-US" w:eastAsia="zh-CN"/>
        </w:rPr>
        <w:t>加强法治政府建设，提升依法行政水平，努力打造勤政、廉洁、高效、公正的法治政府，做到依法决策、依法施政。提升街道决策科学化水平，推进公职律师、专家顾问参与规范性文件合法性审核工作，落实重大行政决策公众参与、专家论证、风险评估、合法性审查、集体讨论决定制度。坚持民主集中制原则，严格落实“三重一大”决策机制，做到依法决策、科学决策、民主决策。全面推进政务公开，逐步提高公文主动公开率。</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转变作风，强化落实执行力。</w:t>
      </w:r>
      <w:r>
        <w:rPr>
          <w:rFonts w:hint="eastAsia" w:ascii="仿宋_GB2312" w:hAnsi="仿宋_GB2312" w:eastAsia="仿宋_GB2312" w:cs="仿宋_GB2312"/>
          <w:color w:val="auto"/>
          <w:sz w:val="32"/>
          <w:szCs w:val="32"/>
          <w:lang w:val="en-US" w:eastAsia="zh-CN"/>
        </w:rPr>
        <w:t>坚持正向激励和反向问责相结合，敢于担当作为，坚决避免“痕迹主义”，以“钉钉子”精神抓落实，以啃“硬骨头”精神抓攻坚。坚持在需要攻坚破难的各项重点工作中锻炼、培养机关和事业单位年轻后备力量；加快提升居民区工作人员的综合素质，探索实施“青苗计划”，强化实干争先、勇于担当的优良工作作风。</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千锤百炼，织牢廉政防护网。</w:t>
      </w:r>
      <w:r>
        <w:rPr>
          <w:rFonts w:hint="eastAsia" w:ascii="仿宋_GB2312" w:hAnsi="仿宋_GB2312" w:eastAsia="仿宋_GB2312" w:cs="仿宋_GB2312"/>
          <w:color w:val="auto"/>
          <w:sz w:val="32"/>
          <w:szCs w:val="32"/>
          <w:lang w:val="en-US" w:eastAsia="zh-CN"/>
        </w:rPr>
        <w:t>强化政府部门廉政建设，严格履行“一岗双责”，持之以恒纠正“四风”，让公职人员心有所畏、言有所戒、行有所止。严格遵守中央八项规定及实施细则精神，力戒形式主义、官僚主义。</w:t>
      </w:r>
      <w:r>
        <w:rPr>
          <w:rFonts w:hint="default" w:ascii="仿宋_GB2312" w:hAnsi="仿宋_GB2312" w:eastAsia="仿宋_GB2312" w:cs="仿宋_GB2312"/>
          <w:color w:val="auto"/>
          <w:sz w:val="32"/>
          <w:szCs w:val="32"/>
          <w:lang w:val="en-US" w:eastAsia="zh-CN"/>
        </w:rPr>
        <w:t>聚焦重点领域</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注重资源统筹</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突出目标管理</w:t>
      </w:r>
      <w:r>
        <w:rPr>
          <w:rFonts w:hint="eastAsia" w:ascii="仿宋_GB2312" w:hAnsi="仿宋_GB2312" w:eastAsia="仿宋_GB2312" w:cs="仿宋_GB2312"/>
          <w:color w:val="auto"/>
          <w:sz w:val="32"/>
          <w:szCs w:val="32"/>
          <w:lang w:val="en-US" w:eastAsia="zh-CN"/>
        </w:rPr>
        <w:t>，大力倡俭治奢、防微杜渐，从严控制“三公”经费，营造风清气正的政治生态。</w:t>
      </w:r>
    </w:p>
    <w:p>
      <w:pPr>
        <w:keepNext w:val="0"/>
        <w:keepLines w:val="0"/>
        <w:pageBreakBefore w:val="0"/>
        <w:widowControl w:val="0"/>
        <w:kinsoku/>
        <w:wordWrap/>
        <w:topLinePunct w:val="0"/>
        <w:autoSpaceDE/>
        <w:autoSpaceDN/>
        <w:bidi w:val="0"/>
        <w:adjustRightInd w:val="0"/>
        <w:snapToGrid w:val="0"/>
        <w:spacing w:line="560" w:lineRule="exact"/>
        <w:ind w:left="-420" w:leftChars="-200" w:firstLine="641" w:firstLineChars="200"/>
        <w:textAlignment w:val="auto"/>
        <w:rPr>
          <w:rFonts w:hint="eastAsia" w:ascii="华文楷体" w:hAnsi="华文楷体" w:eastAsia="华文楷体" w:cs="华文楷体"/>
          <w:b/>
          <w:bCs/>
          <w:sz w:val="32"/>
          <w:szCs w:val="32"/>
          <w:lang w:eastAsia="zh-CN"/>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八）</w:t>
      </w:r>
      <w:r>
        <w:rPr>
          <w:rFonts w:hint="eastAsia" w:ascii="华文楷体" w:hAnsi="华文楷体" w:eastAsia="华文楷体" w:cs="华文楷体"/>
          <w:b/>
          <w:bCs/>
          <w:sz w:val="32"/>
          <w:szCs w:val="32"/>
          <w:lang w:eastAsia="zh-CN"/>
        </w:rPr>
        <w:t>回应群众期盼，扎实推进社区实事项目</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1、“家门口”养老服务便利店项目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在街道内改建5个标准化老年活动室；将六里二老居委部分空间改造为助餐点；试点集健康自检、健康指导、自我管理、信息汇集等功能于一体的智慧健康小屋建设。</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2、部分老旧小区技防设施改造项目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积极配合新区开展56个老旧小区智能安防建设工程；完成1-2个小区视频探头升级改造；完成8-10个充电桩点位和6个老旧小区电子门更新改造工作。</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3、部分老旧小区住房修缮改造项目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将临沂二村小区建设成高标准示范小区，在常规修缮内容基础上，对小区外立面、空调外机等进行综合整治；对临沂六村小区房屋外墙等进行综合整新，改善居住环境，提高居民生活质量。</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4、部分道路提升项目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对白莲泾休闲大道的附属设施、绿化等进行改造；整体提升辖区部分路面破损、公共设施缺乏的无名道路、背街小巷。</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5、部分老旧小区主干道改建项目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改建沿江片、六里片部分老旧小区门头、门卫室及主干道出入口区域。</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6、居民区健身点更新维护</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对部分居民区健身苑点服务期满8年的健身器材进行更新；根据居民区需求增配健身器材。</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7、“家门口”文化指导员进社区项目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成立南码头文化指导员队伍，实现文化指导员与居民区一对一结对，指导居民区建立文化团队，进一步丰富居民的文化生活。</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8、部分老旧小区设施改造项目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对六里片、沿江片部分老旧小区环境进行示范化改造，对部分小区文明楼组进行楼道粉刷，开展部分老旧小区居民楼公共部位（楼道）电气线路改造实事工程。</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9、消防安全演练</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继续在本街道辖区内各企事业单位及居民小区全面组织开展疏散逃生演练活动。通过演练，使广大职工和居民群众基本掌握火灾应急避险逃生的正确方法，熟悉火灾发生时紧急疏散、逃生的程序和路线，掌握自救、互救方法。</w:t>
      </w:r>
    </w:p>
    <w:p>
      <w:pPr>
        <w:keepNext w:val="0"/>
        <w:keepLines w:val="0"/>
        <w:pageBreakBefore w:val="0"/>
        <w:widowControl w:val="0"/>
        <w:wordWrap/>
        <w:topLinePunct w:val="0"/>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10、开办爱心服务项目</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继续开展爱心暑托班、爱心三点半等面向小学生的爱心服务项目，解决部分双职工家庭暑期和放学后的孩子托管照护问题。</w:t>
      </w: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wordWrap/>
        <w:topLinePunct w:val="0"/>
        <w:bidi w:val="0"/>
        <w:adjustRightInd w:val="0"/>
        <w:snapToGrid w:val="0"/>
        <w:spacing w:line="560" w:lineRule="exact"/>
        <w:ind w:left="-420" w:leftChars="-200" w:right="-420" w:rightChars="-20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各位代表、同志们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使命重在担当，实干铸就未来。万里征程风正劲,千钧重任再扬帆。</w:t>
      </w:r>
      <w:r>
        <w:rPr>
          <w:rFonts w:hint="eastAsia" w:ascii="仿宋_GB2312" w:hAnsi="仿宋_GB2312" w:eastAsia="仿宋_GB2312" w:cs="仿宋_GB2312"/>
          <w:sz w:val="32"/>
          <w:szCs w:val="32"/>
          <w:lang w:eastAsia="zh-CN"/>
        </w:rPr>
        <w:t>我们正处于南码头新的发展起点，新时代要有新气象，让我们紧密团结在以习近平同志为核心的党中央周围，在区委、区政府和街道党工委的领导下，同心同德、携手前行、笃行实干、善作善成，以优异成绩迎接浦东开发开放</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0周年，为南码头高质量发展做出更大的贡献！</w:t>
      </w:r>
    </w:p>
    <w:p>
      <w:pPr>
        <w:adjustRightInd w:val="0"/>
        <w:snapToGrid w:val="0"/>
        <w:spacing w:line="560" w:lineRule="exact"/>
        <w:ind w:left="-420" w:leftChars="-200"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val="0"/>
        <w:snapToGrid w:val="0"/>
        <w:spacing w:line="560" w:lineRule="exact"/>
        <w:ind w:left="-420" w:leftChars="-200" w:firstLine="641" w:firstLineChars="200"/>
        <w:textAlignment w:val="auto"/>
        <w:rPr>
          <w:rFonts w:hint="eastAsia" w:ascii="华文楷体" w:hAnsi="华文楷体" w:eastAsia="华文楷体" w:cs="华文楷体"/>
          <w:b/>
          <w:bCs/>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60" w:lineRule="exact"/>
        <w:ind w:left="-420" w:leftChars="-200" w:firstLine="641" w:firstLineChars="200"/>
        <w:textAlignment w:val="auto"/>
        <w:rPr>
          <w:rFonts w:hint="eastAsia" w:ascii="华文楷体" w:hAnsi="华文楷体" w:eastAsia="华文楷体" w:cs="华文楷体"/>
          <w:b/>
          <w:bCs/>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60" w:lineRule="exact"/>
        <w:ind w:left="-420" w:leftChars="-200" w:firstLine="641" w:firstLineChars="200"/>
        <w:textAlignment w:val="auto"/>
        <w:rPr>
          <w:rFonts w:hint="eastAsia" w:ascii="华文楷体" w:hAnsi="华文楷体" w:eastAsia="华文楷体" w:cs="华文楷体"/>
          <w:b/>
          <w:bCs/>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60" w:lineRule="exact"/>
        <w:ind w:left="-420" w:leftChars="-200" w:firstLine="641" w:firstLineChars="200"/>
        <w:textAlignment w:val="auto"/>
        <w:rPr>
          <w:rFonts w:hint="eastAsia" w:ascii="华文楷体" w:hAnsi="华文楷体" w:eastAsia="华文楷体" w:cs="华文楷体"/>
          <w:b/>
          <w:bCs/>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60" w:lineRule="exact"/>
        <w:ind w:left="-420" w:leftChars="-200" w:firstLine="641" w:firstLineChars="200"/>
        <w:textAlignment w:val="auto"/>
        <w:rPr>
          <w:rFonts w:hint="eastAsia" w:ascii="华文楷体" w:hAnsi="华文楷体" w:eastAsia="华文楷体" w:cs="华文楷体"/>
          <w:b/>
          <w:bCs/>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60" w:lineRule="exact"/>
        <w:ind w:left="0" w:leftChars="0" w:firstLine="0" w:firstLineChars="0"/>
        <w:textAlignment w:val="auto"/>
        <w:rPr>
          <w:rFonts w:hint="eastAsia" w:ascii="华文楷体" w:hAnsi="华文楷体" w:eastAsia="华文楷体" w:cs="华文楷体"/>
          <w:b/>
          <w:bCs/>
          <w:sz w:val="32"/>
          <w:szCs w:val="32"/>
          <w:lang w:val="en-US" w:eastAsia="zh-CN"/>
        </w:rPr>
      </w:pPr>
    </w:p>
    <w:p>
      <w:pPr>
        <w:keepNext w:val="0"/>
        <w:keepLines w:val="0"/>
        <w:pageBreakBefore w:val="0"/>
        <w:widowControl w:val="0"/>
        <w:kinsoku/>
        <w:wordWrap/>
        <w:topLinePunct w:val="0"/>
        <w:autoSpaceDE/>
        <w:autoSpaceDN/>
        <w:bidi w:val="0"/>
        <w:adjustRightInd w:val="0"/>
        <w:snapToGrid w:val="0"/>
        <w:spacing w:line="560" w:lineRule="exact"/>
        <w:ind w:left="-420" w:leftChars="-200" w:right="-420" w:rightChars="-20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名词解释：</w:t>
      </w:r>
    </w:p>
    <w:p>
      <w:pPr>
        <w:keepNext w:val="0"/>
        <w:keepLines w:val="0"/>
        <w:pageBreakBefore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bCs/>
          <w:sz w:val="32"/>
          <w:szCs w:val="32"/>
          <w:lang w:val="en-US" w:eastAsia="zh-CN"/>
        </w:rPr>
        <w:t>1.“聚焦九大品牌，实现九个持续提升”：</w:t>
      </w:r>
      <w:r>
        <w:rPr>
          <w:rFonts w:hint="eastAsia" w:ascii="仿宋_GB2312" w:hAnsi="仿宋_GB2312" w:eastAsia="仿宋_GB2312" w:cs="仿宋_GB2312"/>
          <w:b w:val="0"/>
          <w:bCs w:val="0"/>
          <w:sz w:val="32"/>
          <w:szCs w:val="32"/>
          <w:lang w:val="en-US" w:eastAsia="zh-CN"/>
        </w:rPr>
        <w:t>即</w:t>
      </w:r>
      <w:r>
        <w:rPr>
          <w:rFonts w:hint="eastAsia" w:ascii="仿宋_GB2312" w:hAnsi="仿宋_GB2312" w:eastAsia="仿宋_GB2312" w:cs="仿宋_GB2312"/>
          <w:b w:val="0"/>
          <w:bCs/>
          <w:color w:val="000000"/>
          <w:kern w:val="0"/>
          <w:sz w:val="32"/>
          <w:szCs w:val="32"/>
          <w:lang w:val="en-US" w:eastAsia="zh-CN" w:bidi="ar-SA"/>
        </w:rPr>
        <w:t>聚焦“四力建设”，持续提升党建引领水平；聚焦“智慧社区”，持续提升社会治理能级；聚焦“园林街镇”，持续提升城市品质层级；聚焦“码头门神”，持续提升社区平安稳定成效；聚焦“15分钟服务圈”，持续提升大民生服务格局；聚焦“家门口”提质增能，持续提升自治共治能力；聚焦“家门口”提质增能，持续提升自治共治能力；聚焦“人才蓄水池”，持续提升干部人才队伍素质；聚焦“四责协同”，持续提升风清气正的发展氛围。</w:t>
      </w:r>
    </w:p>
    <w:p>
      <w:pPr>
        <w:pStyle w:val="42"/>
        <w:keepNext w:val="0"/>
        <w:keepLines w:val="0"/>
        <w:pageBreakBefore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_GB2312" w:eastAsia="仿宋_GB2312" w:cs="仿宋_GB2312"/>
          <w:b/>
          <w:bCs w:val="0"/>
          <w:color w:val="auto"/>
          <w:kern w:val="0"/>
          <w:sz w:val="32"/>
          <w:szCs w:val="32"/>
          <w:u w:val="none"/>
          <w:lang w:val="en-US" w:eastAsia="zh-CN" w:bidi="ar-SA"/>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color w:val="000000"/>
          <w:kern w:val="0"/>
          <w:sz w:val="32"/>
          <w:szCs w:val="32"/>
          <w:lang w:val="en-US" w:eastAsia="zh-CN" w:bidi="ar-SA"/>
        </w:rPr>
        <w:t>“两网融合”：</w:t>
      </w:r>
      <w:r>
        <w:rPr>
          <w:rFonts w:hint="eastAsia" w:ascii="仿宋_GB2312" w:hAnsi="仿宋_GB2312" w:eastAsia="仿宋_GB2312" w:cs="仿宋_GB2312"/>
          <w:b w:val="0"/>
          <w:bCs/>
          <w:color w:val="000000"/>
          <w:kern w:val="0"/>
          <w:sz w:val="32"/>
          <w:szCs w:val="32"/>
          <w:lang w:val="en-US" w:eastAsia="zh-CN" w:bidi="ar-SA"/>
        </w:rPr>
        <w:t>指城市环卫系统与再生资源系统两个网络有效衔接，融合发展，突破两个网络有效协同发展不配套的短板，其目的是实现垃圾分类后的减量化和资源化。</w:t>
      </w:r>
    </w:p>
    <w:p>
      <w:pPr>
        <w:keepNext w:val="0"/>
        <w:keepLines w:val="0"/>
        <w:pageBreakBefore w:val="0"/>
        <w:widowControl w:val="0"/>
        <w:kinsoku/>
        <w:wordWrap/>
        <w:topLinePunct w:val="0"/>
        <w:autoSpaceDE/>
        <w:autoSpaceDN/>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b w:val="0"/>
          <w:i w:val="0"/>
          <w:caps w:val="0"/>
          <w:color w:val="000000" w:themeColor="text1"/>
          <w:spacing w:val="28"/>
          <w:sz w:val="32"/>
          <w:szCs w:val="32"/>
          <w:shd w:val="clear" w:fill="FFFFFF"/>
          <w:lang w:eastAsia="zh-CN"/>
          <w14:textFill>
            <w14:solidFill>
              <w14:schemeClr w14:val="tx1"/>
            </w14:solidFill>
          </w14:textFill>
        </w:rPr>
      </w:pPr>
      <w:r>
        <w:rPr>
          <w:rFonts w:hint="eastAsia" w:ascii="仿宋_GB2312" w:hAnsi="仿宋_GB2312" w:eastAsia="仿宋_GB2312" w:cs="仿宋_GB2312"/>
          <w:b/>
          <w:bCs w:val="0"/>
          <w:color w:val="000000"/>
          <w:kern w:val="0"/>
          <w:sz w:val="32"/>
          <w:szCs w:val="32"/>
          <w:lang w:val="en-US" w:eastAsia="zh-CN"/>
        </w:rPr>
        <w:t>3.</w:t>
      </w:r>
      <w:r>
        <w:rPr>
          <w:rFonts w:hint="eastAsia" w:ascii="仿宋_GB2312" w:hAnsi="仿宋_GB2312" w:eastAsia="仿宋_GB2312" w:cs="仿宋_GB2312"/>
          <w:b/>
          <w:color w:val="000000"/>
          <w:kern w:val="0"/>
          <w:sz w:val="32"/>
          <w:szCs w:val="32"/>
          <w:lang w:val="en-US" w:eastAsia="zh-CN"/>
        </w:rPr>
        <w:t>“1+4+N”：</w:t>
      </w:r>
      <w:r>
        <w:rPr>
          <w:rFonts w:hint="eastAsia" w:ascii="仿宋_GB2312" w:hAnsi="仿宋_GB2312" w:eastAsia="仿宋_GB2312" w:cs="仿宋_GB2312"/>
          <w:sz w:val="32"/>
          <w:szCs w:val="32"/>
          <w:lang w:val="en-US" w:eastAsia="zh-CN"/>
        </w:rPr>
        <w:t>指</w:t>
      </w:r>
      <w:r>
        <w:rPr>
          <w:rFonts w:hint="eastAsia" w:ascii="仿宋_GB2312" w:hAnsi="仿宋_GB2312" w:eastAsia="仿宋_GB2312" w:cs="仿宋_GB2312"/>
          <w:b w:val="0"/>
          <w:i w:val="0"/>
          <w:caps w:val="0"/>
          <w:color w:val="000000" w:themeColor="text1"/>
          <w:spacing w:val="28"/>
          <w:sz w:val="32"/>
          <w:szCs w:val="32"/>
          <w:shd w:val="clear" w:fill="FFFFFF"/>
          <w14:textFill>
            <w14:solidFill>
              <w14:schemeClr w14:val="tx1"/>
            </w14:solidFill>
          </w14:textFill>
        </w:rPr>
        <w:t>1个综合型社区食堂</w:t>
      </w:r>
      <w:r>
        <w:rPr>
          <w:rFonts w:hint="eastAsia" w:ascii="仿宋_GB2312" w:hAnsi="仿宋_GB2312" w:eastAsia="仿宋_GB2312" w:cs="仿宋_GB2312"/>
          <w:b w:val="0"/>
          <w:i w:val="0"/>
          <w:caps w:val="0"/>
          <w:color w:val="000000" w:themeColor="text1"/>
          <w:spacing w:val="28"/>
          <w:sz w:val="32"/>
          <w:szCs w:val="32"/>
          <w:shd w:val="clear" w:fill="FFFFFF"/>
          <w:lang w:eastAsia="zh-CN"/>
          <w14:textFill>
            <w14:solidFill>
              <w14:schemeClr w14:val="tx1"/>
            </w14:solidFill>
          </w14:textFill>
        </w:rPr>
        <w:t>，</w:t>
      </w:r>
      <w:r>
        <w:rPr>
          <w:rFonts w:hint="eastAsia" w:ascii="仿宋_GB2312" w:hAnsi="仿宋_GB2312" w:eastAsia="仿宋_GB2312" w:cs="仿宋_GB2312"/>
          <w:b w:val="0"/>
          <w:i w:val="0"/>
          <w:caps w:val="0"/>
          <w:color w:val="000000" w:themeColor="text1"/>
          <w:spacing w:val="28"/>
          <w:sz w:val="32"/>
          <w:szCs w:val="32"/>
          <w:shd w:val="clear" w:fill="FFFFFF"/>
          <w:lang w:val="en-US" w:eastAsia="zh-CN"/>
          <w14:textFill>
            <w14:solidFill>
              <w14:schemeClr w14:val="tx1"/>
            </w14:solidFill>
          </w14:textFill>
        </w:rPr>
        <w:t>4</w:t>
      </w:r>
      <w:r>
        <w:rPr>
          <w:rFonts w:hint="eastAsia" w:ascii="仿宋_GB2312" w:hAnsi="仿宋_GB2312" w:eastAsia="仿宋_GB2312" w:cs="仿宋_GB2312"/>
          <w:b w:val="0"/>
          <w:i w:val="0"/>
          <w:caps w:val="0"/>
          <w:color w:val="000000" w:themeColor="text1"/>
          <w:spacing w:val="28"/>
          <w:sz w:val="32"/>
          <w:szCs w:val="32"/>
          <w:shd w:val="clear" w:fill="FFFFFF"/>
          <w14:textFill>
            <w14:solidFill>
              <w14:schemeClr w14:val="tx1"/>
            </w14:solidFill>
          </w14:textFill>
        </w:rPr>
        <w:t>个单一型助餐点</w:t>
      </w:r>
      <w:r>
        <w:rPr>
          <w:rFonts w:hint="eastAsia" w:ascii="仿宋_GB2312" w:hAnsi="仿宋_GB2312" w:eastAsia="仿宋_GB2312" w:cs="仿宋_GB2312"/>
          <w:b w:val="0"/>
          <w:i w:val="0"/>
          <w:caps w:val="0"/>
          <w:color w:val="000000" w:themeColor="text1"/>
          <w:spacing w:val="28"/>
          <w:sz w:val="32"/>
          <w:szCs w:val="32"/>
          <w:shd w:val="clear" w:fill="FFFFFF"/>
          <w:lang w:eastAsia="zh-CN"/>
          <w14:textFill>
            <w14:solidFill>
              <w14:schemeClr w14:val="tx1"/>
            </w14:solidFill>
          </w14:textFill>
        </w:rPr>
        <w:t>，及养老院开放助餐和引进移动助餐车等多形式多样化为老助餐服务渠道。</w:t>
      </w:r>
    </w:p>
    <w:p>
      <w:pPr>
        <w:keepNext w:val="0"/>
        <w:keepLines w:val="0"/>
        <w:pageBreakBefore w:val="0"/>
        <w:widowControl w:val="0"/>
        <w:kinsoku/>
        <w:wordWrap/>
        <w:topLinePunct w:val="0"/>
        <w:autoSpaceDE/>
        <w:autoSpaceDN/>
        <w:bidi w:val="0"/>
        <w:adjustRightInd w:val="0"/>
        <w:snapToGrid w:val="0"/>
        <w:spacing w:line="560" w:lineRule="exact"/>
        <w:ind w:left="-420" w:leftChars="-200" w:right="-420" w:rightChars="-200" w:firstLine="755" w:firstLineChars="200"/>
        <w:textAlignment w:val="auto"/>
        <w:rPr>
          <w:rFonts w:hint="eastAsia" w:ascii="仿宋_GB2312" w:hAnsi="Adobe 仿宋 Std R" w:eastAsia="仿宋_GB2312"/>
          <w:sz w:val="32"/>
          <w:szCs w:val="32"/>
          <w:lang w:eastAsia="zh-CN"/>
        </w:rPr>
      </w:pPr>
      <w:r>
        <w:rPr>
          <w:rFonts w:hint="eastAsia" w:ascii="仿宋_GB2312" w:hAnsi="仿宋_GB2312" w:eastAsia="仿宋_GB2312" w:cs="仿宋_GB2312"/>
          <w:b/>
          <w:bCs/>
          <w:i w:val="0"/>
          <w:caps w:val="0"/>
          <w:color w:val="000000" w:themeColor="text1"/>
          <w:spacing w:val="28"/>
          <w:sz w:val="32"/>
          <w:szCs w:val="32"/>
          <w:shd w:val="clear" w:fill="FFFFFF"/>
          <w:lang w:val="en-US" w:eastAsia="zh-CN"/>
          <w14:textFill>
            <w14:solidFill>
              <w14:schemeClr w14:val="tx1"/>
            </w14:solidFill>
          </w14:textFill>
        </w:rPr>
        <w:t>4.“五件套”：</w:t>
      </w:r>
      <w:r>
        <w:rPr>
          <w:rFonts w:hint="eastAsia" w:ascii="仿宋_GB2312" w:hAnsi="仿宋_GB2312" w:eastAsia="仿宋_GB2312" w:cs="仿宋_GB2312"/>
          <w:b w:val="0"/>
          <w:i w:val="0"/>
          <w:caps w:val="0"/>
          <w:color w:val="000000" w:themeColor="text1"/>
          <w:spacing w:val="28"/>
          <w:sz w:val="32"/>
          <w:szCs w:val="32"/>
          <w:shd w:val="clear" w:fill="FFFFFF"/>
          <w:lang w:val="en-US" w:eastAsia="zh-CN"/>
          <w14:textFill>
            <w14:solidFill>
              <w14:schemeClr w14:val="tx1"/>
            </w14:solidFill>
          </w14:textFill>
        </w:rPr>
        <w:t>指为实现“家门口”服务事项远程视频帮办功能而配备的</w:t>
      </w:r>
      <w:r>
        <w:rPr>
          <w:rFonts w:hint="eastAsia" w:ascii="仿宋_GB2312" w:hAnsi="Adobe 仿宋 Std R" w:eastAsia="仿宋_GB2312"/>
          <w:sz w:val="32"/>
          <w:szCs w:val="32"/>
        </w:rPr>
        <w:t>打印机、摄像头、读卡器、高拍仪、扫码枪</w:t>
      </w:r>
      <w:r>
        <w:rPr>
          <w:rFonts w:hint="eastAsia" w:ascii="仿宋_GB2312" w:hAnsi="Adobe 仿宋 Std R" w:eastAsia="仿宋_GB2312"/>
          <w:sz w:val="32"/>
          <w:szCs w:val="32"/>
          <w:lang w:eastAsia="zh-CN"/>
        </w:rPr>
        <w:t>。</w:t>
      </w:r>
    </w:p>
    <w:p>
      <w:pPr>
        <w:keepNext w:val="0"/>
        <w:keepLines w:val="0"/>
        <w:pageBreakBefore w:val="0"/>
        <w:widowControl w:val="0"/>
        <w:kinsoku/>
        <w:wordWrap/>
        <w:topLinePunct w:val="0"/>
        <w:autoSpaceDE/>
        <w:autoSpaceDN/>
        <w:bidi w:val="0"/>
        <w:adjustRightInd w:val="0"/>
        <w:snapToGrid w:val="0"/>
        <w:spacing w:line="560" w:lineRule="exact"/>
        <w:ind w:left="-420" w:leftChars="-200" w:right="-420" w:rightChars="-20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Adobe 仿宋 Std R" w:eastAsia="仿宋_GB2312" w:cs="Times New Roman"/>
          <w:b/>
          <w:bCs/>
          <w:sz w:val="32"/>
          <w:szCs w:val="32"/>
          <w:lang w:val="en-US" w:eastAsia="zh-CN"/>
        </w:rPr>
        <w:t>5.</w:t>
      </w:r>
      <w:r>
        <w:rPr>
          <w:rFonts w:hint="eastAsia" w:ascii="仿宋_GB2312" w:hAnsi="仿宋_GB2312" w:eastAsia="仿宋_GB2312" w:cs="仿宋_GB2312"/>
          <w:b/>
          <w:bCs/>
          <w:sz w:val="32"/>
          <w:szCs w:val="32"/>
          <w:lang w:val="en-US" w:eastAsia="zh-CN"/>
        </w:rPr>
        <w:t>“1+1+3”指导：</w:t>
      </w:r>
      <w:r>
        <w:rPr>
          <w:rFonts w:hint="eastAsia" w:ascii="仿宋_GB2312" w:hAnsi="仿宋_GB2312" w:eastAsia="仿宋_GB2312" w:cs="仿宋_GB2312"/>
          <w:sz w:val="32"/>
          <w:szCs w:val="32"/>
          <w:lang w:val="en-US" w:eastAsia="zh-CN"/>
        </w:rPr>
        <w:t>指1次政策指导，1次就业指导，3次岗位推荐。</w:t>
      </w:r>
    </w:p>
    <w:p>
      <w:pPr>
        <w:keepNext w:val="0"/>
        <w:keepLines w:val="0"/>
        <w:pageBreakBefore w:val="0"/>
        <w:widowControl w:val="0"/>
        <w:kinsoku/>
        <w:wordWrap/>
        <w:topLinePunct w:val="0"/>
        <w:autoSpaceDE/>
        <w:autoSpaceDN/>
        <w:bidi w:val="0"/>
        <w:adjustRightInd w:val="0"/>
        <w:snapToGrid w:val="0"/>
        <w:spacing w:line="560" w:lineRule="exact"/>
        <w:ind w:left="-420" w:leftChars="-200" w:right="-420" w:rightChars="-200" w:firstLine="643" w:firstLineChars="200"/>
        <w:textAlignment w:val="auto"/>
        <w:rPr>
          <w:rFonts w:hint="eastAsia" w:ascii="仿宋_GB2312" w:hAnsi="Adobe 仿宋 Std R" w:eastAsia="仿宋_GB2312" w:cs="Times New Roman"/>
          <w:b w:val="0"/>
          <w:bCs w:val="0"/>
          <w:sz w:val="32"/>
          <w:szCs w:val="32"/>
          <w:lang w:val="en-US" w:eastAsia="zh-CN"/>
        </w:rPr>
      </w:pPr>
      <w:r>
        <w:rPr>
          <w:rFonts w:hint="eastAsia" w:ascii="仿宋_GB2312" w:hAnsi="仿宋_GB2312" w:eastAsia="仿宋_GB2312" w:cs="仿宋_GB2312"/>
          <w:b/>
          <w:bCs/>
          <w:sz w:val="32"/>
          <w:szCs w:val="32"/>
          <w:lang w:val="en-US" w:eastAsia="zh-CN"/>
        </w:rPr>
        <w:t>6.“码头门神”：</w:t>
      </w:r>
      <w:r>
        <w:rPr>
          <w:rFonts w:hint="eastAsia" w:ascii="仿宋_GB2312" w:hAnsi="Adobe 仿宋 Std R" w:eastAsia="仿宋_GB2312" w:cs="Times New Roman"/>
          <w:b w:val="0"/>
          <w:bCs w:val="0"/>
          <w:sz w:val="32"/>
          <w:szCs w:val="32"/>
          <w:lang w:val="en-US" w:eastAsia="zh-CN"/>
        </w:rPr>
        <w:t>指通过技防设施、人防队伍等安全体系建设，提升辖区治安，打造维护南码头平安的守护神。</w:t>
      </w:r>
    </w:p>
    <w:p>
      <w:pPr>
        <w:pStyle w:val="42"/>
        <w:keepNext w:val="0"/>
        <w:keepLines w:val="0"/>
        <w:pageBreakBefore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Adobe 仿宋 Std R" w:eastAsia="仿宋_GB2312" w:cs="Times New Roman"/>
          <w:b/>
          <w:bCs/>
          <w:sz w:val="32"/>
          <w:szCs w:val="32"/>
          <w:lang w:val="en-US" w:eastAsia="zh-CN"/>
        </w:rPr>
        <w:t>7.</w:t>
      </w:r>
      <w:r>
        <w:rPr>
          <w:rFonts w:hint="eastAsia" w:ascii="仿宋_GB2312" w:hAnsi="仿宋_GB2312" w:eastAsia="仿宋_GB2312" w:cs="仿宋_GB2312"/>
          <w:b/>
          <w:bCs/>
          <w:sz w:val="32"/>
          <w:szCs w:val="32"/>
          <w:lang w:val="en-US" w:eastAsia="zh-CN"/>
        </w:rPr>
        <w:t>“四网一平台”：</w:t>
      </w:r>
      <w:r>
        <w:rPr>
          <w:rFonts w:hint="eastAsia" w:ascii="仿宋_GB2312" w:hAnsi="仿宋_GB2312" w:eastAsia="仿宋_GB2312" w:cs="仿宋_GB2312"/>
          <w:b w:val="0"/>
          <w:bCs/>
          <w:sz w:val="32"/>
          <w:szCs w:val="32"/>
          <w:lang w:val="en-US" w:eastAsia="zh-CN"/>
        </w:rPr>
        <w:t>指公安网一期、二期，人户分离网一期、二期，三个实有平台。</w:t>
      </w:r>
    </w:p>
    <w:p>
      <w:pPr>
        <w:pStyle w:val="42"/>
        <w:keepNext w:val="0"/>
        <w:keepLines w:val="0"/>
        <w:pageBreakBefore w:val="0"/>
        <w:widowControl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color w:val="000000"/>
          <w:sz w:val="32"/>
          <w:szCs w:val="32"/>
          <w:lang w:val="en-US" w:eastAsia="zh-CN"/>
        </w:rPr>
        <w:t>“三会”：</w:t>
      </w:r>
      <w:r>
        <w:rPr>
          <w:rFonts w:hint="eastAsia" w:ascii="仿宋_GB2312" w:hAnsi="仿宋_GB2312" w:eastAsia="仿宋_GB2312" w:cs="仿宋_GB2312"/>
          <w:b w:val="0"/>
          <w:bCs/>
          <w:color w:val="000000"/>
          <w:sz w:val="32"/>
          <w:szCs w:val="32"/>
          <w:lang w:val="en-US" w:eastAsia="zh-CN"/>
        </w:rPr>
        <w:t>指</w:t>
      </w:r>
      <w:r>
        <w:rPr>
          <w:rFonts w:hint="eastAsia" w:ascii="仿宋_GB2312" w:hAnsi="仿宋_GB2312" w:eastAsia="仿宋_GB2312" w:cs="仿宋_GB2312"/>
          <w:kern w:val="0"/>
          <w:sz w:val="32"/>
          <w:szCs w:val="32"/>
        </w:rPr>
        <w:t>决策前的听证会、推进中的协调会、完成后的评议会</w:t>
      </w:r>
      <w:r>
        <w:rPr>
          <w:rFonts w:hint="eastAsia" w:ascii="仿宋_GB2312" w:hAnsi="仿宋_GB2312" w:eastAsia="仿宋_GB2312" w:cs="仿宋_GB2312"/>
          <w:kern w:val="0"/>
          <w:sz w:val="32"/>
          <w:szCs w:val="32"/>
          <w:lang w:eastAsia="zh-CN"/>
        </w:rPr>
        <w:t>。</w:t>
      </w:r>
    </w:p>
    <w:p>
      <w:pPr>
        <w:pStyle w:val="42"/>
        <w:keepNext w:val="0"/>
        <w:keepLines w:val="0"/>
        <w:pageBreakBefore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kern w:val="0"/>
          <w:sz w:val="32"/>
          <w:szCs w:val="32"/>
          <w:lang w:val="en-US" w:eastAsia="zh-CN"/>
        </w:rPr>
        <w:t>9.</w:t>
      </w:r>
      <w:r>
        <w:rPr>
          <w:rFonts w:hint="eastAsia" w:ascii="仿宋_GB2312" w:hAnsi="仿宋_GB2312" w:eastAsia="仿宋_GB2312" w:cs="仿宋_GB2312"/>
          <w:b/>
          <w:bCs/>
          <w:color w:val="000000"/>
          <w:sz w:val="32"/>
          <w:szCs w:val="32"/>
          <w:lang w:val="en-US" w:eastAsia="zh-CN"/>
        </w:rPr>
        <w:t>“一城三指”：</w:t>
      </w:r>
      <w:r>
        <w:rPr>
          <w:rFonts w:hint="eastAsia" w:ascii="仿宋_GB2312" w:hAnsi="仿宋_GB2312" w:eastAsia="仿宋_GB2312" w:cs="仿宋_GB2312"/>
          <w:b w:val="0"/>
          <w:bCs/>
          <w:color w:val="000000"/>
          <w:sz w:val="32"/>
          <w:szCs w:val="32"/>
          <w:lang w:val="en-US" w:eastAsia="zh-CN"/>
        </w:rPr>
        <w:t>“一城”是指全国文明城区创评，“三指”分别是上海城市文明进步指数测评、浦东新区文明指数测评、上海市交通文明综合指数测评。</w:t>
      </w:r>
    </w:p>
    <w:p>
      <w:pPr>
        <w:pStyle w:val="42"/>
        <w:keepNext w:val="0"/>
        <w:keepLines w:val="0"/>
        <w:pageBreakBefore w:val="0"/>
        <w:widowControl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kern w:val="0"/>
          <w:sz w:val="32"/>
          <w:szCs w:val="32"/>
          <w:lang w:val="en-US" w:eastAsia="zh-CN"/>
        </w:rPr>
        <w:t>10.</w:t>
      </w:r>
      <w:r>
        <w:rPr>
          <w:rFonts w:hint="eastAsia" w:ascii="仿宋_GB2312" w:hAnsi="仿宋_GB2312" w:eastAsia="仿宋_GB2312" w:cs="仿宋_GB2312"/>
          <w:b/>
          <w:bCs/>
          <w:sz w:val="32"/>
          <w:szCs w:val="32"/>
          <w:lang w:val="zh-CN" w:eastAsia="zh-CN"/>
        </w:rPr>
        <w:t>“四责协同”：</w:t>
      </w:r>
      <w:r>
        <w:rPr>
          <w:rFonts w:hint="eastAsia" w:ascii="仿宋_GB2312" w:hAnsi="仿宋_GB2312" w:eastAsia="仿宋_GB2312" w:cs="仿宋_GB2312"/>
          <w:sz w:val="32"/>
          <w:szCs w:val="32"/>
          <w:lang w:val="zh-CN" w:eastAsia="zh-CN"/>
        </w:rPr>
        <w:t>指党委主体责任、纪委监督责任、党委书记第一责任和班子成员“一岗双责”责任有机协同、层层传导、问责有力的全面从严治党责任落实机制。</w:t>
      </w:r>
    </w:p>
    <w:p>
      <w:pPr>
        <w:pStyle w:val="42"/>
        <w:keepNext w:val="0"/>
        <w:keepLines w:val="0"/>
        <w:pageBreakBefore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11.“四个放在”：</w:t>
      </w:r>
      <w:r>
        <w:rPr>
          <w:rFonts w:hint="eastAsia" w:ascii="仿宋_GB2312" w:hAnsi="仿宋_GB2312" w:eastAsia="仿宋_GB2312" w:cs="仿宋_GB2312"/>
          <w:b w:val="0"/>
          <w:bCs w:val="0"/>
          <w:sz w:val="32"/>
          <w:szCs w:val="32"/>
          <w:lang w:val="en-US" w:eastAsia="zh-CN"/>
        </w:rPr>
        <w:t>指习近平总书记要求，上海未来发展要放在中央对上海发展的战略定位上、放在经济全球化的大背景下、放在全国发展的大格局中、放在国家对长江三角洲区域发展的总体部署中来思考和谋划。</w:t>
      </w:r>
    </w:p>
    <w:p>
      <w:pPr>
        <w:pStyle w:val="42"/>
        <w:keepNext w:val="0"/>
        <w:keepLines w:val="0"/>
        <w:pageBreakBefore w:val="0"/>
        <w:kinsoku/>
        <w:wordWrap/>
        <w:overflowPunct/>
        <w:topLinePunct w:val="0"/>
        <w:bidi w:val="0"/>
        <w:adjustRightInd w:val="0"/>
        <w:snapToGrid w:val="0"/>
        <w:spacing w:line="560" w:lineRule="exact"/>
        <w:ind w:left="-420" w:leftChars="-200" w:firstLine="643" w:firstLineChars="200"/>
        <w:textAlignment w:val="auto"/>
        <w:outlineLvl w:val="9"/>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12.“三个在于”：</w:t>
      </w:r>
      <w:r>
        <w:rPr>
          <w:rFonts w:hint="eastAsia" w:ascii="仿宋_GB2312" w:hAnsi="仿宋" w:eastAsia="仿宋_GB2312"/>
          <w:b w:val="0"/>
          <w:bCs w:val="0"/>
          <w:sz w:val="32"/>
          <w:szCs w:val="32"/>
          <w:lang w:val="en-US" w:eastAsia="zh-CN"/>
        </w:rPr>
        <w:t>指习近平总书记2010年考察浦东时强调，浦东开发开放的意义在于发挥窗口作用、示范意义，在于发扬敢闯敢试、先行先试的精神，在于发挥排头兵、试验田的作用。</w:t>
      </w:r>
    </w:p>
    <w:p>
      <w:pPr>
        <w:pStyle w:val="42"/>
        <w:keepNext w:val="0"/>
        <w:keepLines w:val="0"/>
        <w:pageBreakBefore w:val="0"/>
        <w:widowControl w:val="0"/>
        <w:kinsoku/>
        <w:wordWrap/>
        <w:overflowPunct/>
        <w:topLinePunct w:val="0"/>
        <w:bidi w:val="0"/>
        <w:adjustRightInd w:val="0"/>
        <w:snapToGrid w:val="0"/>
        <w:spacing w:line="560" w:lineRule="exact"/>
        <w:ind w:left="-420" w:leftChars="-200" w:firstLine="643" w:firstLineChars="200"/>
        <w:textAlignment w:val="auto"/>
        <w:outlineLvl w:val="9"/>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13.“1+2+3+7”：</w:t>
      </w:r>
      <w:r>
        <w:rPr>
          <w:rFonts w:hint="eastAsia" w:ascii="仿宋_GB2312" w:hAnsi="仿宋" w:eastAsia="仿宋_GB2312"/>
          <w:b w:val="0"/>
          <w:bCs w:val="0"/>
          <w:sz w:val="32"/>
          <w:szCs w:val="32"/>
          <w:lang w:val="en-US" w:eastAsia="zh-CN"/>
        </w:rPr>
        <w:t>即一条主线——建设高品质社区，两个发力点——补短板、创品牌，三个抓手——机制、队伍、项目，</w:t>
      </w:r>
      <w:r>
        <w:rPr>
          <w:rFonts w:hint="eastAsia" w:ascii="仿宋_GB2312" w:hAnsi="仿宋" w:eastAsia="仿宋_GB2312"/>
          <w:b w:val="0"/>
          <w:bCs w:val="0"/>
          <w:color w:val="auto"/>
          <w:sz w:val="32"/>
          <w:szCs w:val="32"/>
          <w:lang w:val="en-US" w:eastAsia="zh-CN"/>
        </w:rPr>
        <w:t>“七彩南码头”——红色先锋南码头、橙色温馨南码头、金色活力南码头、绿色健康南码头、青色智慧南码头、蓝色平安南码头、紫色品质南码头。</w:t>
      </w:r>
    </w:p>
    <w:p>
      <w:pPr>
        <w:pStyle w:val="42"/>
        <w:keepNext w:val="0"/>
        <w:keepLines w:val="0"/>
        <w:pageBreakBefore w:val="0"/>
        <w:kinsoku/>
        <w:wordWrap/>
        <w:overflowPunct/>
        <w:topLinePunct w:val="0"/>
        <w:bidi w:val="0"/>
        <w:adjustRightInd w:val="0"/>
        <w:snapToGrid w:val="0"/>
        <w:spacing w:line="560" w:lineRule="exact"/>
        <w:ind w:left="-420" w:leftChars="-200" w:firstLine="643" w:firstLineChars="200"/>
        <w:textAlignment w:val="auto"/>
        <w:outlineLvl w:val="9"/>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14.</w:t>
      </w:r>
      <w:r>
        <w:rPr>
          <w:rFonts w:hint="default" w:ascii="仿宋_GB2312" w:hAnsi="仿宋_GB2312" w:eastAsia="仿宋_GB2312" w:cs="仿宋_GB2312"/>
          <w:b/>
          <w:bCs/>
          <w:color w:val="auto"/>
          <w:sz w:val="32"/>
          <w:szCs w:val="32"/>
          <w:lang w:val="en-US" w:eastAsia="zh-CN"/>
        </w:rPr>
        <w:t>城市运行“一网统管</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指依托“城市大脑”加快建设数据汇集、系统集成、联勤联动、共享开放的城市运行综合管理一张网，推进城市治理科学化、精细化、智能化。</w:t>
      </w:r>
    </w:p>
    <w:p>
      <w:pPr>
        <w:keepNext w:val="0"/>
        <w:keepLines w:val="0"/>
        <w:pageBreakBefore w:val="0"/>
        <w:widowControl w:val="0"/>
        <w:kinsoku/>
        <w:wordWrap/>
        <w:topLinePunct w:val="0"/>
        <w:autoSpaceDE/>
        <w:autoSpaceDN/>
        <w:bidi w:val="0"/>
        <w:adjustRightInd w:val="0"/>
        <w:snapToGrid w:val="0"/>
        <w:spacing w:line="560" w:lineRule="exact"/>
        <w:ind w:left="-420" w:leftChars="-200" w:right="-420" w:rightChars="-200" w:firstLine="640" w:firstLineChars="200"/>
        <w:textAlignment w:val="auto"/>
        <w:rPr>
          <w:rFonts w:hint="default" w:ascii="仿宋_GB2312" w:hAnsi="Adobe 仿宋 Std R" w:eastAsia="仿宋_GB2312" w:cs="Times New Roman"/>
          <w:b w:val="0"/>
          <w:bCs w:val="0"/>
          <w:sz w:val="32"/>
          <w:szCs w:val="32"/>
          <w:lang w:val="en-US" w:eastAsia="zh-CN"/>
        </w:rPr>
      </w:pPr>
    </w:p>
    <w:sectPr>
      <w:headerReference r:id="rId3" w:type="default"/>
      <w:footerReference r:id="rId4"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黑体w">
    <w:altName w:val="Arial Unicode MS"/>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50"/>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F6668"/>
    <w:multiLevelType w:val="singleLevel"/>
    <w:tmpl w:val="668F6668"/>
    <w:lvl w:ilvl="0" w:tentative="0">
      <w:start w:val="1"/>
      <w:numFmt w:val="decimal"/>
      <w:pStyle w:val="17"/>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A3B35"/>
    <w:rsid w:val="00304843"/>
    <w:rsid w:val="02197EEE"/>
    <w:rsid w:val="02376CC8"/>
    <w:rsid w:val="02953786"/>
    <w:rsid w:val="0313010C"/>
    <w:rsid w:val="032E6361"/>
    <w:rsid w:val="03380B54"/>
    <w:rsid w:val="03A66BB9"/>
    <w:rsid w:val="03F65A9B"/>
    <w:rsid w:val="04093BEC"/>
    <w:rsid w:val="04D94755"/>
    <w:rsid w:val="04F33363"/>
    <w:rsid w:val="05301450"/>
    <w:rsid w:val="058D28F6"/>
    <w:rsid w:val="05D25B82"/>
    <w:rsid w:val="05E355AA"/>
    <w:rsid w:val="06411CE6"/>
    <w:rsid w:val="067F4C24"/>
    <w:rsid w:val="07866E62"/>
    <w:rsid w:val="08BD1B42"/>
    <w:rsid w:val="095C18C9"/>
    <w:rsid w:val="09675E3F"/>
    <w:rsid w:val="09C7388E"/>
    <w:rsid w:val="0A1438E6"/>
    <w:rsid w:val="0A446BA6"/>
    <w:rsid w:val="0A770E34"/>
    <w:rsid w:val="0ADF5EA2"/>
    <w:rsid w:val="0B23353D"/>
    <w:rsid w:val="0CD874F9"/>
    <w:rsid w:val="0DE3357B"/>
    <w:rsid w:val="0E9105C9"/>
    <w:rsid w:val="0F463779"/>
    <w:rsid w:val="0F967458"/>
    <w:rsid w:val="11AC128B"/>
    <w:rsid w:val="127D1F13"/>
    <w:rsid w:val="12F56303"/>
    <w:rsid w:val="14A75691"/>
    <w:rsid w:val="14D73BD0"/>
    <w:rsid w:val="15CF243B"/>
    <w:rsid w:val="161C066A"/>
    <w:rsid w:val="16317821"/>
    <w:rsid w:val="1696442E"/>
    <w:rsid w:val="16BE3BF5"/>
    <w:rsid w:val="172D7F1D"/>
    <w:rsid w:val="17C174D4"/>
    <w:rsid w:val="17D6412E"/>
    <w:rsid w:val="18AB0F78"/>
    <w:rsid w:val="18B763FE"/>
    <w:rsid w:val="18FF14E1"/>
    <w:rsid w:val="191719DF"/>
    <w:rsid w:val="1D60171E"/>
    <w:rsid w:val="1D653793"/>
    <w:rsid w:val="1E1335E3"/>
    <w:rsid w:val="1E341DB4"/>
    <w:rsid w:val="1EDD039E"/>
    <w:rsid w:val="1F1D3AD4"/>
    <w:rsid w:val="1F8F6F80"/>
    <w:rsid w:val="1FD204D6"/>
    <w:rsid w:val="20101D1D"/>
    <w:rsid w:val="213777ED"/>
    <w:rsid w:val="214B306A"/>
    <w:rsid w:val="217B1FAB"/>
    <w:rsid w:val="24C92D84"/>
    <w:rsid w:val="26084646"/>
    <w:rsid w:val="268F330E"/>
    <w:rsid w:val="26AC2946"/>
    <w:rsid w:val="27905478"/>
    <w:rsid w:val="281C482B"/>
    <w:rsid w:val="28336994"/>
    <w:rsid w:val="29E23B3E"/>
    <w:rsid w:val="2A6A72D8"/>
    <w:rsid w:val="2B2B2D4D"/>
    <w:rsid w:val="2D164BE9"/>
    <w:rsid w:val="2DD7551F"/>
    <w:rsid w:val="2E42571F"/>
    <w:rsid w:val="2E786813"/>
    <w:rsid w:val="2FCC7494"/>
    <w:rsid w:val="300A66F2"/>
    <w:rsid w:val="302215B6"/>
    <w:rsid w:val="319E170B"/>
    <w:rsid w:val="3268265A"/>
    <w:rsid w:val="328C652E"/>
    <w:rsid w:val="33132E5C"/>
    <w:rsid w:val="335954E0"/>
    <w:rsid w:val="33C43A10"/>
    <w:rsid w:val="35670281"/>
    <w:rsid w:val="35EC2D8D"/>
    <w:rsid w:val="36B959DF"/>
    <w:rsid w:val="371E1F7D"/>
    <w:rsid w:val="374D5C60"/>
    <w:rsid w:val="37CE1441"/>
    <w:rsid w:val="397D5EB0"/>
    <w:rsid w:val="3A387956"/>
    <w:rsid w:val="3A417EBE"/>
    <w:rsid w:val="3A537203"/>
    <w:rsid w:val="3AB64057"/>
    <w:rsid w:val="3B6E3255"/>
    <w:rsid w:val="3BFA5A4E"/>
    <w:rsid w:val="3C3F61E7"/>
    <w:rsid w:val="3C9C58E8"/>
    <w:rsid w:val="3D7E5FC1"/>
    <w:rsid w:val="3E152841"/>
    <w:rsid w:val="3F1E71D1"/>
    <w:rsid w:val="3FA671E8"/>
    <w:rsid w:val="3FE36CB7"/>
    <w:rsid w:val="40174ABF"/>
    <w:rsid w:val="422002DC"/>
    <w:rsid w:val="42427237"/>
    <w:rsid w:val="43BB0FD1"/>
    <w:rsid w:val="43C34C23"/>
    <w:rsid w:val="44101D06"/>
    <w:rsid w:val="44395D65"/>
    <w:rsid w:val="44AA32A1"/>
    <w:rsid w:val="459C1493"/>
    <w:rsid w:val="460453E6"/>
    <w:rsid w:val="4623334E"/>
    <w:rsid w:val="46BE5440"/>
    <w:rsid w:val="46FE2DEE"/>
    <w:rsid w:val="470F0570"/>
    <w:rsid w:val="49600B57"/>
    <w:rsid w:val="49917C84"/>
    <w:rsid w:val="4AB41D3F"/>
    <w:rsid w:val="4AE04AAD"/>
    <w:rsid w:val="4B6B4D53"/>
    <w:rsid w:val="4CA26036"/>
    <w:rsid w:val="4D314458"/>
    <w:rsid w:val="4EC72ABF"/>
    <w:rsid w:val="4F0C21B3"/>
    <w:rsid w:val="4F466F2D"/>
    <w:rsid w:val="4F8740DE"/>
    <w:rsid w:val="503C590E"/>
    <w:rsid w:val="507A1A55"/>
    <w:rsid w:val="50E81559"/>
    <w:rsid w:val="52A00BED"/>
    <w:rsid w:val="56B45B2B"/>
    <w:rsid w:val="57007492"/>
    <w:rsid w:val="57333D3D"/>
    <w:rsid w:val="57D62E42"/>
    <w:rsid w:val="580C29A2"/>
    <w:rsid w:val="589C690F"/>
    <w:rsid w:val="58CB308A"/>
    <w:rsid w:val="5B231086"/>
    <w:rsid w:val="5B6D366A"/>
    <w:rsid w:val="5BA177B0"/>
    <w:rsid w:val="5BF64E89"/>
    <w:rsid w:val="5C2A58EA"/>
    <w:rsid w:val="5CC36D29"/>
    <w:rsid w:val="5D7355B3"/>
    <w:rsid w:val="5DA66873"/>
    <w:rsid w:val="5E6F48B2"/>
    <w:rsid w:val="5F572B9C"/>
    <w:rsid w:val="5FF431B7"/>
    <w:rsid w:val="60013FDA"/>
    <w:rsid w:val="60046AE1"/>
    <w:rsid w:val="614156AC"/>
    <w:rsid w:val="61CE1DFC"/>
    <w:rsid w:val="62977425"/>
    <w:rsid w:val="62A86999"/>
    <w:rsid w:val="62C110C3"/>
    <w:rsid w:val="644D3D83"/>
    <w:rsid w:val="646C4CB5"/>
    <w:rsid w:val="64E87170"/>
    <w:rsid w:val="65566CB8"/>
    <w:rsid w:val="65FF7879"/>
    <w:rsid w:val="66054FBF"/>
    <w:rsid w:val="66E96045"/>
    <w:rsid w:val="67241583"/>
    <w:rsid w:val="6784790D"/>
    <w:rsid w:val="67D52EF4"/>
    <w:rsid w:val="68F00D4B"/>
    <w:rsid w:val="68F82763"/>
    <w:rsid w:val="69A75797"/>
    <w:rsid w:val="69D564C7"/>
    <w:rsid w:val="6A9D3D78"/>
    <w:rsid w:val="6B3A3B35"/>
    <w:rsid w:val="6BB25D89"/>
    <w:rsid w:val="6D0A11C3"/>
    <w:rsid w:val="6D6C7127"/>
    <w:rsid w:val="6F1E53C5"/>
    <w:rsid w:val="700A08BB"/>
    <w:rsid w:val="710A2A75"/>
    <w:rsid w:val="719C76F2"/>
    <w:rsid w:val="71D866AE"/>
    <w:rsid w:val="726F765E"/>
    <w:rsid w:val="74155A0F"/>
    <w:rsid w:val="74173568"/>
    <w:rsid w:val="742165CC"/>
    <w:rsid w:val="748F52AA"/>
    <w:rsid w:val="74A52462"/>
    <w:rsid w:val="74F55BF1"/>
    <w:rsid w:val="75571437"/>
    <w:rsid w:val="761D126C"/>
    <w:rsid w:val="763D4244"/>
    <w:rsid w:val="764123CF"/>
    <w:rsid w:val="776C7D65"/>
    <w:rsid w:val="78931B9F"/>
    <w:rsid w:val="78C211D5"/>
    <w:rsid w:val="791F1199"/>
    <w:rsid w:val="79773249"/>
    <w:rsid w:val="7C133A99"/>
    <w:rsid w:val="7C681CBA"/>
    <w:rsid w:val="7D00780A"/>
    <w:rsid w:val="7D055C4A"/>
    <w:rsid w:val="7D9F4676"/>
    <w:rsid w:val="7E23688D"/>
    <w:rsid w:val="7E307094"/>
    <w:rsid w:val="7ED16171"/>
    <w:rsid w:val="7EFB6C13"/>
    <w:rsid w:val="7F3F053D"/>
    <w:rsid w:val="7F6C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75" w:after="75"/>
      <w:jc w:val="left"/>
    </w:pPr>
    <w:rPr>
      <w:rFonts w:ascii="宋体" w:hAnsi="宋体" w:eastAsia="宋体" w:cs="宋体"/>
      <w:kern w:val="0"/>
      <w:sz w:val="24"/>
      <w:szCs w:val="24"/>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ascii="Consolas" w:hAnsi="Consolas" w:eastAsia="Consolas" w:cs="Consolas"/>
      <w:color w:val="FFFFFF"/>
      <w:sz w:val="21"/>
      <w:szCs w:val="21"/>
      <w:shd w:val="clear" w:fill="333333"/>
    </w:rPr>
  </w:style>
  <w:style w:type="character" w:styleId="14">
    <w:name w:val="HTML Sample"/>
    <w:basedOn w:val="7"/>
    <w:qFormat/>
    <w:uiPriority w:val="0"/>
    <w:rPr>
      <w:rFonts w:hint="default" w:ascii="Consolas" w:hAnsi="Consolas" w:eastAsia="Consolas" w:cs="Consolas"/>
      <w:sz w:val="21"/>
      <w:szCs w:val="21"/>
    </w:rPr>
  </w:style>
  <w:style w:type="paragraph" w:customStyle="1" w:styleId="1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标题 1 Char"/>
    <w:link w:val="2"/>
    <w:qFormat/>
    <w:uiPriority w:val="0"/>
    <w:rPr>
      <w:b/>
      <w:kern w:val="44"/>
      <w:sz w:val="44"/>
    </w:rPr>
  </w:style>
  <w:style w:type="paragraph" w:customStyle="1" w:styleId="17">
    <w:name w:val="4四级"/>
    <w:qFormat/>
    <w:uiPriority w:val="0"/>
    <w:pPr>
      <w:numPr>
        <w:ilvl w:val="0"/>
        <w:numId w:val="1"/>
      </w:numPr>
      <w:ind w:firstLine="880" w:firstLineChars="200"/>
      <w:outlineLvl w:val="4"/>
    </w:pPr>
    <w:rPr>
      <w:rFonts w:ascii="Calibri" w:hAnsi="Calibri" w:eastAsia="仿宋" w:cstheme="minorBidi"/>
      <w:sz w:val="32"/>
    </w:rPr>
  </w:style>
  <w:style w:type="paragraph" w:customStyle="1" w:styleId="18">
    <w:name w:val="5公文正文"/>
    <w:basedOn w:val="1"/>
    <w:qFormat/>
    <w:uiPriority w:val="0"/>
    <w:pPr>
      <w:ind w:firstLine="880" w:firstLineChars="200"/>
    </w:pPr>
    <w:rPr>
      <w:rFonts w:eastAsia="仿宋" w:asciiTheme="minorAscii" w:hAnsiTheme="minorAscii"/>
      <w:sz w:val="32"/>
    </w:rPr>
  </w:style>
  <w:style w:type="paragraph" w:customStyle="1" w:styleId="19">
    <w:name w:val="_Style 3"/>
    <w:basedOn w:val="1"/>
    <w:next w:val="20"/>
    <w:qFormat/>
    <w:uiPriority w:val="34"/>
    <w:pPr>
      <w:ind w:firstLine="420" w:firstLineChars="200"/>
    </w:pPr>
  </w:style>
  <w:style w:type="paragraph" w:styleId="20">
    <w:name w:val="List Paragraph"/>
    <w:basedOn w:val="1"/>
    <w:qFormat/>
    <w:uiPriority w:val="34"/>
    <w:pPr>
      <w:ind w:firstLine="420" w:firstLineChars="200"/>
    </w:pPr>
  </w:style>
  <w:style w:type="character" w:customStyle="1" w:styleId="21">
    <w:name w:val="fr-emoticon"/>
    <w:basedOn w:val="7"/>
    <w:qFormat/>
    <w:uiPriority w:val="0"/>
    <w:rPr>
      <w:rFonts w:ascii="Segoe UI Symbol" w:hAnsi="Segoe UI Symbol" w:eastAsia="Segoe UI Symbol" w:cs="Segoe UI Symbol"/>
    </w:rPr>
  </w:style>
  <w:style w:type="character" w:customStyle="1" w:styleId="22">
    <w:name w:val="last-child1"/>
    <w:basedOn w:val="7"/>
    <w:qFormat/>
    <w:uiPriority w:val="0"/>
  </w:style>
  <w:style w:type="character" w:customStyle="1" w:styleId="23">
    <w:name w:val="select2-selection__rendered"/>
    <w:basedOn w:val="7"/>
    <w:qFormat/>
    <w:uiPriority w:val="0"/>
    <w:rPr>
      <w:sz w:val="18"/>
      <w:szCs w:val="18"/>
    </w:rPr>
  </w:style>
  <w:style w:type="character" w:customStyle="1" w:styleId="24">
    <w:name w:val="time"/>
    <w:basedOn w:val="7"/>
    <w:qFormat/>
    <w:uiPriority w:val="0"/>
  </w:style>
  <w:style w:type="character" w:customStyle="1" w:styleId="25">
    <w:name w:val="time1"/>
    <w:basedOn w:val="7"/>
    <w:qFormat/>
    <w:uiPriority w:val="0"/>
    <w:rPr>
      <w:rFonts w:ascii="Arial" w:hAnsi="Arial" w:cs="Arial"/>
    </w:rPr>
  </w:style>
  <w:style w:type="character" w:customStyle="1" w:styleId="26">
    <w:name w:val="before"/>
    <w:basedOn w:val="7"/>
    <w:qFormat/>
    <w:uiPriority w:val="0"/>
    <w:rPr>
      <w:vanish/>
      <w:bdr w:val="single" w:color="FFFFFF" w:sz="48" w:space="0"/>
    </w:rPr>
  </w:style>
  <w:style w:type="character" w:customStyle="1" w:styleId="27">
    <w:name w:val="before1"/>
    <w:basedOn w:val="7"/>
    <w:qFormat/>
    <w:uiPriority w:val="0"/>
  </w:style>
  <w:style w:type="character" w:customStyle="1" w:styleId="28">
    <w:name w:val="hover46"/>
    <w:basedOn w:val="7"/>
    <w:qFormat/>
    <w:uiPriority w:val="0"/>
    <w:rPr>
      <w:color w:val="5FB878"/>
    </w:rPr>
  </w:style>
  <w:style w:type="character" w:customStyle="1" w:styleId="29">
    <w:name w:val="hover47"/>
    <w:basedOn w:val="7"/>
    <w:qFormat/>
    <w:uiPriority w:val="0"/>
    <w:rPr>
      <w:shd w:val="clear" w:fill="5AB1FE"/>
    </w:rPr>
  </w:style>
  <w:style w:type="character" w:customStyle="1" w:styleId="30">
    <w:name w:val="hover48"/>
    <w:basedOn w:val="7"/>
    <w:qFormat/>
    <w:uiPriority w:val="0"/>
    <w:rPr>
      <w:color w:val="5FB878"/>
    </w:rPr>
  </w:style>
  <w:style w:type="character" w:customStyle="1" w:styleId="31">
    <w:name w:val="hover49"/>
    <w:basedOn w:val="7"/>
    <w:qFormat/>
    <w:uiPriority w:val="0"/>
    <w:rPr>
      <w:color w:val="FFFFFF"/>
    </w:rPr>
  </w:style>
  <w:style w:type="character" w:customStyle="1" w:styleId="32">
    <w:name w:val="hover"/>
    <w:basedOn w:val="7"/>
    <w:qFormat/>
    <w:uiPriority w:val="0"/>
    <w:rPr>
      <w:shd w:val="clear" w:fill="5AB1FE"/>
    </w:rPr>
  </w:style>
  <w:style w:type="character" w:customStyle="1" w:styleId="33">
    <w:name w:val="hover1"/>
    <w:basedOn w:val="7"/>
    <w:qFormat/>
    <w:uiPriority w:val="0"/>
    <w:rPr>
      <w:color w:val="5FB878"/>
    </w:rPr>
  </w:style>
  <w:style w:type="character" w:customStyle="1" w:styleId="34">
    <w:name w:val="hover2"/>
    <w:basedOn w:val="7"/>
    <w:qFormat/>
    <w:uiPriority w:val="0"/>
    <w:rPr>
      <w:color w:val="5FB878"/>
    </w:rPr>
  </w:style>
  <w:style w:type="character" w:customStyle="1" w:styleId="35">
    <w:name w:val="hover3"/>
    <w:basedOn w:val="7"/>
    <w:qFormat/>
    <w:uiPriority w:val="0"/>
    <w:rPr>
      <w:color w:val="FFFFFF"/>
    </w:rPr>
  </w:style>
  <w:style w:type="character" w:customStyle="1" w:styleId="36">
    <w:name w:val="hover50"/>
    <w:basedOn w:val="7"/>
    <w:qFormat/>
    <w:uiPriority w:val="0"/>
    <w:rPr>
      <w:color w:val="FFFFFF"/>
    </w:rPr>
  </w:style>
  <w:style w:type="character" w:customStyle="1" w:styleId="37">
    <w:name w:val="last-child2"/>
    <w:basedOn w:val="7"/>
    <w:qFormat/>
    <w:uiPriority w:val="0"/>
  </w:style>
  <w:style w:type="character" w:customStyle="1" w:styleId="38">
    <w:name w:val="before2"/>
    <w:basedOn w:val="7"/>
    <w:qFormat/>
    <w:uiPriority w:val="0"/>
  </w:style>
  <w:style w:type="character" w:customStyle="1" w:styleId="39">
    <w:name w:val="before3"/>
    <w:basedOn w:val="7"/>
    <w:qFormat/>
    <w:uiPriority w:val="0"/>
    <w:rPr>
      <w:vanish/>
      <w:bdr w:val="single" w:color="FFFFFF" w:sz="48" w:space="0"/>
    </w:rPr>
  </w:style>
  <w:style w:type="character" w:customStyle="1" w:styleId="40">
    <w:name w:val="before4"/>
    <w:basedOn w:val="7"/>
    <w:qFormat/>
    <w:uiPriority w:val="0"/>
  </w:style>
  <w:style w:type="character" w:customStyle="1" w:styleId="41">
    <w:name w:val="last-child"/>
    <w:basedOn w:val="7"/>
    <w:qFormat/>
    <w:uiPriority w:val="0"/>
  </w:style>
  <w:style w:type="paragraph" w:customStyle="1" w:styleId="42">
    <w:name w:val="Default"/>
    <w:qFormat/>
    <w:uiPriority w:val="0"/>
    <w:pPr>
      <w:widowControl w:val="0"/>
      <w:autoSpaceDE w:val="0"/>
      <w:autoSpaceDN w:val="0"/>
      <w:adjustRightInd w:val="0"/>
    </w:pPr>
    <w:rPr>
      <w:rFonts w:ascii="黑体w" w:hAnsi="Calibri" w:eastAsia="黑体w" w:cs="黑体w"/>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2019-12-12T06:48:00Z</dcterms:created>
  <dc:creator>仲珊珊</dc:creator>
  <cp:lastModifiedBy>mybobo</cp:lastModifiedBy>
  <cp:lastPrinted>2020-01-07T02:28:00Z</cp:lastPrinted>
  <dcterms:modified xsi:type="dcterms:W3CDTF">2020-07-29T07:39:11Z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