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宋体" w:eastAsia="黑体"/>
          <w:color w:val="000000"/>
          <w:kern w:val="0"/>
          <w:sz w:val="32"/>
          <w:szCs w:val="32"/>
        </w:rPr>
      </w:pPr>
    </w:p>
    <w:p>
      <w:pPr>
        <w:spacing w:line="480" w:lineRule="exact"/>
        <w:rPr>
          <w:rFonts w:ascii="黑体" w:hAnsi="宋体" w:eastAsia="黑体"/>
          <w:color w:val="000000"/>
          <w:kern w:val="0"/>
          <w:sz w:val="30"/>
          <w:szCs w:val="30"/>
        </w:rPr>
      </w:pPr>
    </w:p>
    <w:p>
      <w:pPr>
        <w:spacing w:line="760" w:lineRule="exact"/>
        <w:rPr>
          <w:rFonts w:ascii="黑体" w:hAnsi="宋体" w:eastAsia="黑体"/>
          <w:color w:val="FF0000"/>
          <w:kern w:val="0"/>
          <w:sz w:val="30"/>
          <w:szCs w:val="30"/>
        </w:rPr>
      </w:pPr>
    </w:p>
    <w:p>
      <w:pPr>
        <w:jc w:val="center"/>
        <w:rPr>
          <w:rFonts w:ascii="方正小标宋简体" w:hAnsi="宋体" w:eastAsia="方正小标宋简体"/>
          <w:color w:val="FF0000"/>
          <w:spacing w:val="266"/>
          <w:w w:val="72"/>
          <w:kern w:val="0"/>
          <w:sz w:val="72"/>
          <w:szCs w:val="72"/>
        </w:rPr>
      </w:pPr>
      <w:r>
        <w:rPr>
          <w:rFonts w:hint="eastAsia" w:ascii="方正小标宋简体" w:hAnsi="宋体" w:eastAsia="方正小标宋简体"/>
          <w:color w:val="FF0000"/>
          <w:spacing w:val="62"/>
          <w:w w:val="100"/>
          <w:kern w:val="0"/>
          <w:sz w:val="72"/>
          <w:szCs w:val="72"/>
          <w:fitText w:val="8320" w:id="184296448"/>
        </w:rPr>
        <w:t>上海市教育委员会文</w:t>
      </w:r>
      <w:r>
        <w:rPr>
          <w:rFonts w:hint="eastAsia" w:ascii="方正小标宋简体" w:hAnsi="宋体" w:eastAsia="方正小标宋简体"/>
          <w:color w:val="FF0000"/>
          <w:spacing w:val="2"/>
          <w:w w:val="100"/>
          <w:kern w:val="0"/>
          <w:sz w:val="72"/>
          <w:szCs w:val="72"/>
          <w:fitText w:val="8320" w:id="184296448"/>
        </w:rPr>
        <w:t>件</w:t>
      </w:r>
    </w:p>
    <w:p>
      <w:pPr>
        <w:spacing w:line="420" w:lineRule="exact"/>
        <w:rPr>
          <w:rFonts w:ascii="黑体" w:hAnsi="华文中宋" w:eastAsia="黑体"/>
          <w:sz w:val="30"/>
          <w:szCs w:val="30"/>
        </w:rPr>
      </w:pPr>
    </w:p>
    <w:p>
      <w:pPr>
        <w:spacing w:line="420" w:lineRule="exact"/>
        <w:rPr>
          <w:rFonts w:ascii="文鼎大标宋简" w:hAnsi="华文中宋" w:eastAsia="文鼎大标宋简"/>
          <w:sz w:val="36"/>
          <w:szCs w:val="36"/>
        </w:rPr>
      </w:pPr>
    </w:p>
    <w:p>
      <w:pPr>
        <w:pBdr>
          <w:bottom w:val="single" w:color="FF0000" w:sz="12" w:space="1"/>
        </w:pBdr>
        <w:spacing w:line="560" w:lineRule="exact"/>
        <w:jc w:val="center"/>
        <w:rPr>
          <w:rFonts w:ascii="仿宋_GB2312" w:eastAsia="仿宋_GB2312"/>
          <w:sz w:val="30"/>
          <w:szCs w:val="30"/>
        </w:rPr>
      </w:pPr>
      <w:r>
        <w:rPr>
          <w:rFonts w:hint="eastAsia" w:ascii="仿宋_GB2312" w:eastAsia="仿宋_GB2312"/>
          <w:sz w:val="30"/>
          <w:szCs w:val="30"/>
        </w:rPr>
        <w:t>沪教委基</w:t>
      </w:r>
      <w:r>
        <w:rPr>
          <w:rFonts w:ascii="仿宋_GB2312" w:eastAsia="仿宋_GB2312"/>
          <w:sz w:val="30"/>
          <w:szCs w:val="30"/>
        </w:rPr>
        <w:t>〔</w:t>
      </w:r>
      <w:r>
        <w:rPr>
          <w:rFonts w:hint="eastAsia" w:ascii="仿宋_GB2312" w:eastAsia="仿宋_GB2312"/>
          <w:sz w:val="30"/>
          <w:szCs w:val="30"/>
        </w:rPr>
        <w:t>2021</w:t>
      </w:r>
      <w:r>
        <w:rPr>
          <w:rFonts w:ascii="仿宋_GB2312" w:eastAsia="仿宋_GB2312"/>
          <w:sz w:val="30"/>
          <w:szCs w:val="30"/>
        </w:rPr>
        <w:t>〕</w:t>
      </w:r>
      <w:r>
        <w:rPr>
          <w:rFonts w:hint="eastAsia" w:ascii="仿宋_GB2312" w:eastAsia="仿宋_GB2312"/>
          <w:sz w:val="30"/>
          <w:szCs w:val="30"/>
        </w:rPr>
        <w:t>35号</w:t>
      </w: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jc w:val="center"/>
        <w:rPr>
          <w:rFonts w:hint="eastAsia" w:ascii="方正小标宋简体" w:hAnsi="华文中宋" w:eastAsia="方正小标宋简体"/>
          <w:sz w:val="38"/>
          <w:szCs w:val="38"/>
        </w:rPr>
      </w:pPr>
      <w:r>
        <w:rPr>
          <w:rFonts w:hint="eastAsia" w:ascii="方正小标宋简体" w:eastAsia="方正小标宋简体"/>
          <w:sz w:val="38"/>
          <w:szCs w:val="38"/>
        </w:rPr>
        <w:t>上海市教育委员会关于</w:t>
      </w:r>
      <w:r>
        <w:rPr>
          <w:rFonts w:hint="eastAsia" w:ascii="方正小标宋简体" w:hAnsi="华文中宋" w:eastAsia="方正小标宋简体"/>
          <w:sz w:val="38"/>
          <w:szCs w:val="38"/>
        </w:rPr>
        <w:t>印发《上海市普通高中</w:t>
      </w:r>
    </w:p>
    <w:p>
      <w:pPr>
        <w:spacing w:line="560" w:lineRule="exact"/>
        <w:jc w:val="center"/>
        <w:rPr>
          <w:rFonts w:hint="eastAsia" w:ascii="方正小标宋简体" w:hAnsi="华文中宋" w:eastAsia="方正小标宋简体"/>
          <w:sz w:val="38"/>
          <w:szCs w:val="38"/>
        </w:rPr>
      </w:pPr>
      <w:r>
        <w:rPr>
          <w:rFonts w:hint="eastAsia" w:ascii="方正小标宋简体" w:hAnsi="华文中宋" w:eastAsia="方正小标宋简体"/>
          <w:sz w:val="38"/>
          <w:szCs w:val="38"/>
        </w:rPr>
        <w:t>课程实施方案》的通知</w:t>
      </w:r>
    </w:p>
    <w:p>
      <w:pPr>
        <w:spacing w:line="560" w:lineRule="exact"/>
        <w:rPr>
          <w:rFonts w:ascii="仿宋_GB2312" w:eastAsia="仿宋_GB2312"/>
          <w:sz w:val="32"/>
        </w:rPr>
      </w:pPr>
    </w:p>
    <w:p>
      <w:pPr>
        <w:spacing w:line="540" w:lineRule="exact"/>
        <w:rPr>
          <w:rFonts w:ascii="仿宋_GB2312" w:hAnsi="微软雅黑" w:eastAsia="仿宋_GB2312" w:cs="宋体"/>
          <w:kern w:val="0"/>
          <w:sz w:val="30"/>
          <w:szCs w:val="30"/>
        </w:rPr>
      </w:pPr>
      <w:r>
        <w:rPr>
          <w:rFonts w:hint="eastAsia" w:ascii="仿宋_GB2312" w:hAnsi="微软雅黑" w:eastAsia="仿宋_GB2312" w:cs="宋体"/>
          <w:kern w:val="0"/>
          <w:sz w:val="30"/>
          <w:szCs w:val="30"/>
        </w:rPr>
        <w:t>各区教育局、各有关直属事业单位：</w:t>
      </w:r>
    </w:p>
    <w:p>
      <w:pPr>
        <w:spacing w:line="540" w:lineRule="exact"/>
        <w:ind w:firstLine="563"/>
        <w:rPr>
          <w:rFonts w:ascii="仿宋_GB2312" w:hAnsi="微软雅黑" w:eastAsia="仿宋_GB2312"/>
          <w:sz w:val="30"/>
          <w:szCs w:val="30"/>
        </w:rPr>
      </w:pPr>
      <w:r>
        <w:rPr>
          <w:rFonts w:hint="eastAsia" w:ascii="仿宋_GB2312" w:hAnsi="微软雅黑" w:eastAsia="仿宋_GB2312" w:cs="宋体"/>
          <w:kern w:val="0"/>
          <w:sz w:val="30"/>
          <w:szCs w:val="30"/>
        </w:rPr>
        <w:t>为进一步做好国家课程方案实施工作，</w:t>
      </w:r>
      <w:r>
        <w:rPr>
          <w:rFonts w:hint="eastAsia" w:ascii="仿宋_GB2312" w:hAnsi="微软雅黑" w:eastAsia="仿宋_GB2312"/>
          <w:sz w:val="30"/>
          <w:szCs w:val="30"/>
        </w:rPr>
        <w:t>根</w:t>
      </w:r>
      <w:r>
        <w:rPr>
          <w:rFonts w:hint="eastAsia" w:ascii="仿宋_GB2312" w:hAnsi="微软雅黑" w:eastAsia="仿宋_GB2312" w:cs="宋体"/>
          <w:kern w:val="0"/>
          <w:sz w:val="30"/>
          <w:szCs w:val="30"/>
        </w:rPr>
        <w:t>据《上海市人民政府办公厅关于本市新时代推进普通高中育人方式改革的实施意见》（沪府办〔</w:t>
      </w:r>
      <w:r>
        <w:rPr>
          <w:rFonts w:ascii="仿宋_GB2312" w:hAnsi="微软雅黑" w:eastAsia="仿宋_GB2312" w:cs="宋体"/>
          <w:kern w:val="0"/>
          <w:sz w:val="30"/>
          <w:szCs w:val="30"/>
        </w:rPr>
        <w:t>2021〕4号）</w:t>
      </w:r>
      <w:r>
        <w:rPr>
          <w:rFonts w:hint="eastAsia" w:ascii="仿宋_GB2312" w:hAnsi="微软雅黑" w:eastAsia="仿宋_GB2312" w:cs="宋体"/>
          <w:kern w:val="0"/>
          <w:sz w:val="30"/>
          <w:szCs w:val="30"/>
        </w:rPr>
        <w:t>》、《</w:t>
      </w:r>
      <w:r>
        <w:rPr>
          <w:rFonts w:hint="eastAsia" w:ascii="仿宋_GB2312" w:hAnsi="微软雅黑" w:eastAsia="仿宋_GB2312"/>
          <w:sz w:val="30"/>
          <w:szCs w:val="30"/>
        </w:rPr>
        <w:t>普通高中课程方案和语文等学科课程标准</w:t>
      </w:r>
      <w:r>
        <w:rPr>
          <w:rFonts w:ascii="仿宋_GB2312" w:hAnsi="微软雅黑" w:eastAsia="仿宋_GB2312"/>
          <w:sz w:val="30"/>
          <w:szCs w:val="30"/>
        </w:rPr>
        <w:t>》</w:t>
      </w:r>
      <w:r>
        <w:rPr>
          <w:rFonts w:hint="eastAsia" w:ascii="仿宋_GB2312" w:hAnsi="微软雅黑" w:eastAsia="仿宋_GB2312"/>
          <w:sz w:val="30"/>
          <w:szCs w:val="30"/>
        </w:rPr>
        <w:t>（</w:t>
      </w:r>
      <w:r>
        <w:rPr>
          <w:rFonts w:ascii="仿宋_GB2312" w:hAnsi="微软雅黑" w:eastAsia="仿宋_GB2312"/>
          <w:sz w:val="30"/>
          <w:szCs w:val="30"/>
        </w:rPr>
        <w:t>2017年版2020年修订）等文件精神，市教委制定了《上海市普通高中课程实施方案》（以下简称《实施方案》），现印发给你们，于2021</w:t>
      </w:r>
      <w:r>
        <w:rPr>
          <w:rFonts w:hint="eastAsia" w:ascii="仿宋_GB2312" w:hAnsi="微软雅黑" w:eastAsia="仿宋_GB2312"/>
          <w:sz w:val="30"/>
          <w:szCs w:val="30"/>
        </w:rPr>
        <w:t>年秋季学期高一年级开始执行。</w:t>
      </w:r>
    </w:p>
    <w:p>
      <w:pPr>
        <w:widowControl/>
        <w:shd w:val="clear" w:color="auto" w:fill="FFFFFF"/>
        <w:spacing w:line="540" w:lineRule="exact"/>
        <w:ind w:firstLine="563"/>
        <w:rPr>
          <w:rFonts w:ascii="仿宋_GB2312" w:hAnsi="微软雅黑" w:eastAsia="仿宋_GB2312" w:cs="宋体"/>
          <w:kern w:val="0"/>
          <w:sz w:val="30"/>
          <w:szCs w:val="30"/>
        </w:rPr>
      </w:pPr>
      <w:r>
        <w:rPr>
          <w:rFonts w:hint="eastAsia" w:ascii="仿宋_GB2312" w:hAnsi="微软雅黑" w:eastAsia="仿宋_GB2312" w:cs="宋体"/>
          <w:kern w:val="0"/>
          <w:sz w:val="30"/>
          <w:szCs w:val="30"/>
        </w:rPr>
        <w:t>各有关单位要坚定正确的政治方向和改革导向，坚持以习近平新时代中国特色社会主义思想为指导，贯彻党的教育方针，落实立德树人根本任务，以课程实施为抓手，着力发展素质教育，注重创新人才培养，促进学生全面而有个性的发展。要统筹好高中课程改革和高考综合改革，切实加强组织领导，系统谋划、整体推进普通高中新课程新教材实施工作，不断提升高中教育教学质量。要落实好关键环节的重点任务，强化课程实施管理与指导，加大条件保障力度，确保课程开齐开足、开设到位；面向教育管理人员以及全体普通高中教研人员、校长和教师，有计划、有步骤地开展培训工作，促进普通高中新课程育人理念深入人心，高中育人方式改革不断深化；全面加强教研工作，创新教研方式，创造条件，激励教师开展教研的积极性，促进课程有效实施。</w:t>
      </w:r>
    </w:p>
    <w:p>
      <w:pPr>
        <w:widowControl/>
        <w:shd w:val="clear" w:color="auto" w:fill="FFFFFF"/>
        <w:spacing w:line="540" w:lineRule="exact"/>
        <w:ind w:firstLine="563"/>
        <w:rPr>
          <w:rFonts w:ascii="仿宋_GB2312" w:hAnsi="微软雅黑" w:eastAsia="仿宋_GB2312" w:cs="宋体"/>
          <w:kern w:val="0"/>
          <w:sz w:val="30"/>
          <w:szCs w:val="30"/>
        </w:rPr>
      </w:pPr>
    </w:p>
    <w:p>
      <w:pPr>
        <w:widowControl/>
        <w:shd w:val="clear" w:color="auto" w:fill="FFFFFF"/>
        <w:spacing w:line="540" w:lineRule="exact"/>
        <w:ind w:firstLine="563"/>
        <w:rPr>
          <w:rFonts w:ascii="仿宋_GB2312" w:hAnsi="微软雅黑" w:eastAsia="仿宋_GB2312" w:cs="宋体"/>
          <w:kern w:val="0"/>
          <w:sz w:val="30"/>
          <w:szCs w:val="30"/>
        </w:rPr>
      </w:pPr>
      <w:r>
        <w:rPr>
          <w:rFonts w:hint="eastAsia" w:ascii="仿宋_GB2312" w:hAnsi="微软雅黑" w:eastAsia="仿宋_GB2312" w:cs="宋体"/>
          <w:kern w:val="0"/>
          <w:sz w:val="30"/>
          <w:szCs w:val="30"/>
        </w:rPr>
        <w:t>附件：上海市普通高中课程实施方案</w:t>
      </w:r>
    </w:p>
    <w:p>
      <w:pPr>
        <w:widowControl/>
        <w:shd w:val="clear" w:color="auto" w:fill="FFFFFF"/>
        <w:spacing w:line="500" w:lineRule="exact"/>
        <w:ind w:firstLine="563"/>
        <w:rPr>
          <w:rFonts w:ascii="仿宋_GB2312" w:hAnsi="微软雅黑" w:eastAsia="仿宋_GB2312" w:cs="宋体"/>
          <w:kern w:val="0"/>
          <w:sz w:val="28"/>
          <w:szCs w:val="28"/>
        </w:rPr>
      </w:pPr>
    </w:p>
    <w:p>
      <w:pPr>
        <w:spacing w:line="560" w:lineRule="exact"/>
        <w:ind w:left="4481" w:leftChars="2067" w:right="361" w:hanging="140" w:hangingChars="50"/>
        <w:rPr>
          <w:rFonts w:ascii="仿宋_GB2312" w:eastAsia="仿宋_GB2312"/>
          <w:sz w:val="30"/>
          <w:szCs w:val="30"/>
        </w:rPr>
      </w:pPr>
      <w:r>
        <w:rPr>
          <w:rFonts w:hint="eastAsia" w:ascii="仿宋_GB2312" w:hAnsi="微软雅黑" w:eastAsia="仿宋_GB2312" w:cs="宋体"/>
          <w:kern w:val="0"/>
          <w:sz w:val="28"/>
          <w:szCs w:val="28"/>
        </w:rPr>
        <w:t xml:space="preserve">                                  </w:t>
      </w:r>
      <w:r>
        <w:rPr>
          <w:rFonts w:hint="eastAsia" w:ascii="仿宋_GB2312" w:eastAsia="仿宋_GB2312"/>
          <w:sz w:val="30"/>
          <w:szCs w:val="30"/>
        </w:rPr>
        <w:t>上 海 市 教 育 委 员 会</w:t>
      </w:r>
    </w:p>
    <w:p>
      <w:pPr>
        <w:tabs>
          <w:tab w:val="left" w:pos="7380"/>
          <w:tab w:val="left" w:pos="7560"/>
        </w:tabs>
        <w:spacing w:line="560" w:lineRule="exact"/>
        <w:ind w:right="361" w:firstLine="5100" w:firstLineChars="1700"/>
        <w:rPr>
          <w:rFonts w:ascii="仿宋_GB2312" w:eastAsia="仿宋_GB2312"/>
          <w:sz w:val="30"/>
          <w:szCs w:val="30"/>
        </w:rPr>
      </w:pPr>
      <w:r>
        <w:rPr>
          <w:rFonts w:hint="eastAsia" w:ascii="仿宋_GB2312" w:eastAsia="仿宋_GB2312"/>
          <w:sz w:val="30"/>
          <w:szCs w:val="30"/>
        </w:rPr>
        <w:t>2021年7月20日</w:t>
      </w:r>
    </w:p>
    <w:p>
      <w:pPr>
        <w:spacing w:line="560" w:lineRule="exact"/>
        <w:rPr>
          <w:rFonts w:ascii="黑体" w:eastAsia="黑体"/>
          <w:sz w:val="30"/>
          <w:szCs w:val="30"/>
        </w:rPr>
      </w:pPr>
    </w:p>
    <w:p>
      <w:pPr>
        <w:widowControl/>
        <w:shd w:val="clear" w:color="auto" w:fill="FFFFFF"/>
        <w:spacing w:line="500" w:lineRule="exact"/>
        <w:rPr>
          <w:rFonts w:hint="eastAsia" w:ascii="华文中宋" w:hAnsi="华文中宋" w:eastAsiaTheme="minorEastAsia"/>
          <w:b/>
          <w:sz w:val="32"/>
          <w:szCs w:val="32"/>
        </w:rPr>
      </w:pPr>
    </w:p>
    <w:p>
      <w:pPr>
        <w:spacing w:line="560" w:lineRule="exact"/>
        <w:rPr>
          <w:rFonts w:hint="eastAsia" w:ascii="华文中宋" w:hAnsi="华文中宋" w:eastAsiaTheme="minorEastAsia"/>
          <w:b/>
          <w:sz w:val="32"/>
          <w:szCs w:val="32"/>
        </w:rPr>
      </w:pPr>
    </w:p>
    <w:p>
      <w:pPr>
        <w:spacing w:line="560" w:lineRule="exact"/>
        <w:rPr>
          <w:rFonts w:hint="eastAsia" w:ascii="华文中宋" w:hAnsi="华文中宋" w:eastAsiaTheme="minorEastAsia"/>
          <w:b/>
          <w:sz w:val="32"/>
          <w:szCs w:val="32"/>
        </w:rPr>
      </w:pPr>
    </w:p>
    <w:p>
      <w:pPr>
        <w:spacing w:line="560" w:lineRule="exact"/>
        <w:rPr>
          <w:rFonts w:hint="eastAsia" w:ascii="华文中宋" w:hAnsi="华文中宋" w:eastAsiaTheme="minorEastAsia"/>
          <w:b/>
          <w:sz w:val="32"/>
          <w:szCs w:val="32"/>
        </w:rPr>
      </w:pPr>
    </w:p>
    <w:p>
      <w:pPr>
        <w:spacing w:line="560" w:lineRule="exact"/>
        <w:rPr>
          <w:rFonts w:hint="eastAsia" w:ascii="华文中宋" w:hAnsi="华文中宋" w:eastAsiaTheme="minorEastAsia"/>
          <w:b/>
          <w:sz w:val="32"/>
          <w:szCs w:val="32"/>
        </w:rPr>
      </w:pPr>
    </w:p>
    <w:p>
      <w:pPr>
        <w:spacing w:line="560" w:lineRule="exact"/>
        <w:rPr>
          <w:rFonts w:hint="eastAsia" w:ascii="华文中宋" w:hAnsi="华文中宋" w:eastAsiaTheme="minorEastAsia"/>
          <w:b/>
          <w:sz w:val="32"/>
          <w:szCs w:val="32"/>
        </w:rPr>
      </w:pPr>
    </w:p>
    <w:p>
      <w:pPr>
        <w:spacing w:line="560" w:lineRule="exact"/>
        <w:rPr>
          <w:rFonts w:hint="eastAsia" w:ascii="华文中宋" w:hAnsi="华文中宋" w:eastAsiaTheme="minorEastAsia"/>
          <w:b/>
          <w:sz w:val="32"/>
          <w:szCs w:val="32"/>
        </w:rPr>
      </w:pPr>
    </w:p>
    <w:p>
      <w:pPr>
        <w:spacing w:line="560" w:lineRule="exact"/>
        <w:rPr>
          <w:rFonts w:ascii="黑体" w:hAnsi="黑体" w:eastAsia="黑体"/>
          <w:sz w:val="32"/>
          <w:szCs w:val="32"/>
        </w:rPr>
      </w:pPr>
      <w:r>
        <w:rPr>
          <w:rFonts w:hint="eastAsia" w:ascii="黑体" w:hAnsi="黑体" w:eastAsia="黑体"/>
          <w:sz w:val="32"/>
          <w:szCs w:val="32"/>
        </w:rPr>
        <w:t>附件</w:t>
      </w:r>
    </w:p>
    <w:p>
      <w:pPr>
        <w:spacing w:line="560" w:lineRule="exact"/>
        <w:jc w:val="center"/>
        <w:rPr>
          <w:rFonts w:ascii="仿宋_GB2312" w:hAnsi="楷体" w:eastAsia="仿宋_GB2312"/>
          <w:b/>
          <w:sz w:val="36"/>
          <w:szCs w:val="36"/>
        </w:rPr>
      </w:pPr>
    </w:p>
    <w:p>
      <w:pPr>
        <w:spacing w:line="560" w:lineRule="exact"/>
        <w:jc w:val="center"/>
        <w:rPr>
          <w:rFonts w:hint="eastAsia" w:ascii="方正小标宋简体" w:hAnsi="华文中宋" w:eastAsia="方正小标宋简体"/>
          <w:sz w:val="38"/>
          <w:szCs w:val="38"/>
        </w:rPr>
      </w:pPr>
      <w:r>
        <w:rPr>
          <w:rFonts w:hint="eastAsia" w:ascii="方正小标宋简体" w:hAnsi="华文中宋" w:eastAsia="方正小标宋简体"/>
          <w:sz w:val="38"/>
          <w:szCs w:val="38"/>
        </w:rPr>
        <w:t>上海市普通高中课程实施方案</w:t>
      </w:r>
    </w:p>
    <w:p>
      <w:pPr>
        <w:spacing w:line="560" w:lineRule="exact"/>
        <w:jc w:val="center"/>
        <w:rPr>
          <w:rFonts w:ascii="仿宋_GB2312" w:hAnsi="楷体" w:eastAsia="仿宋_GB2312"/>
          <w:bCs/>
          <w:sz w:val="28"/>
          <w:szCs w:val="28"/>
        </w:rPr>
      </w:pPr>
    </w:p>
    <w:p>
      <w:pPr>
        <w:spacing w:line="48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为了全面贯彻党的教育方针，落实立德树人根本任务，发展素质教育，推进教育公平，根据中华人民共和国教育部制定的《普通高中课程方案》（2017年版2020年修订），特制定本实施方案。</w:t>
      </w:r>
    </w:p>
    <w:p>
      <w:pPr>
        <w:spacing w:line="480" w:lineRule="exact"/>
        <w:ind w:firstLine="600" w:firstLineChars="200"/>
        <w:rPr>
          <w:rFonts w:ascii="黑体" w:hAnsi="黑体" w:eastAsia="黑体"/>
          <w:bCs/>
          <w:sz w:val="30"/>
          <w:szCs w:val="30"/>
        </w:rPr>
      </w:pPr>
      <w:r>
        <w:rPr>
          <w:rFonts w:hint="eastAsia" w:ascii="黑体" w:hAnsi="黑体" w:eastAsia="黑体"/>
          <w:bCs/>
          <w:sz w:val="30"/>
          <w:szCs w:val="30"/>
        </w:rPr>
        <w:t>一、培养目标</w:t>
      </w:r>
    </w:p>
    <w:p>
      <w:pPr>
        <w:spacing w:line="48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普通高中教育是在义务教育基础上进一步提高国民素养、面向大众的基础教育。</w:t>
      </w:r>
    </w:p>
    <w:p>
      <w:pPr>
        <w:spacing w:line="48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普通高中教育要培养德智体美劳全面发展的社会主义建设者和接班人。要在坚定理想信念、厚植爱国主义情怀、加强品德修养、增长知识见识、培养奋斗精神、增强综合素质上下功夫。要促进学生全面而有个性的发展，为学生适应社会生活、高等教育和职业发展做准备，为学生的终身发展奠定基础。</w:t>
      </w:r>
    </w:p>
    <w:p>
      <w:pPr>
        <w:spacing w:line="48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普通高中课程在义务教育的基础上，进一步提升学生综合素质，着力发展学生核心素养，使学生成为有理想、有本领、有担当的时代新人。</w:t>
      </w:r>
    </w:p>
    <w:p>
      <w:pPr>
        <w:spacing w:line="480" w:lineRule="exact"/>
        <w:ind w:firstLine="600" w:firstLineChars="200"/>
        <w:rPr>
          <w:rFonts w:ascii="楷体_GB2312" w:hAnsi="楷体" w:eastAsia="楷体_GB2312"/>
          <w:bCs/>
          <w:sz w:val="30"/>
          <w:szCs w:val="30"/>
        </w:rPr>
      </w:pPr>
      <w:r>
        <w:rPr>
          <w:rFonts w:hint="eastAsia" w:ascii="楷体_GB2312" w:hAnsi="楷体" w:eastAsia="楷体_GB2312"/>
          <w:bCs/>
          <w:sz w:val="30"/>
          <w:szCs w:val="30"/>
        </w:rPr>
        <w:t>1.具有理想信念和社会责任感</w:t>
      </w:r>
    </w:p>
    <w:p>
      <w:pPr>
        <w:spacing w:line="48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初步形成正确的世界观、人生观和价值观。热爱祖国，拥护中国共产党。弘扬中华优秀传统文化，继承革命文化，发展社会主义先进文化，培育和践行社会主义核心价值观，增强文化自信，树立为中国特色社会主义、人民幸福、民族振兴和社会进步作贡献的远大志向。</w:t>
      </w:r>
    </w:p>
    <w:p>
      <w:pPr>
        <w:spacing w:line="48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遵纪守法，履行公民义务，行使公民权利，维护社会公平正义，具有法治意识、道德观念和劳动观念。热心公益、志愿服务，具有奉献精神。尊重自然，保护环境，具有生态文明意识。维护民族团结，树立</w:t>
      </w:r>
      <w:r>
        <w:rPr>
          <w:rFonts w:hint="eastAsia" w:ascii="仿宋_GB2312" w:hAnsi="楷体" w:eastAsia="仿宋_GB2312"/>
          <w:bCs/>
          <w:sz w:val="30"/>
          <w:szCs w:val="30"/>
          <w:lang w:eastAsia="zh-CN"/>
        </w:rPr>
        <w:t>总体国家安全观</w:t>
      </w:r>
      <w:bookmarkStart w:id="1" w:name="_GoBack"/>
      <w:bookmarkEnd w:id="1"/>
      <w:r>
        <w:rPr>
          <w:rFonts w:hint="eastAsia" w:ascii="仿宋_GB2312" w:hAnsi="楷体" w:eastAsia="仿宋_GB2312"/>
          <w:bCs/>
          <w:sz w:val="30"/>
          <w:szCs w:val="30"/>
        </w:rPr>
        <w:t>，捍卫国家主权、尊严和利益。</w:t>
      </w:r>
    </w:p>
    <w:p>
      <w:pPr>
        <w:spacing w:line="480" w:lineRule="exact"/>
        <w:ind w:firstLine="600" w:firstLineChars="200"/>
        <w:rPr>
          <w:rFonts w:ascii="楷体_GB2312" w:hAnsi="楷体" w:eastAsia="楷体_GB2312"/>
          <w:bCs/>
          <w:sz w:val="30"/>
          <w:szCs w:val="30"/>
        </w:rPr>
      </w:pPr>
      <w:r>
        <w:rPr>
          <w:rFonts w:hint="eastAsia" w:ascii="楷体_GB2312" w:hAnsi="楷体" w:eastAsia="楷体_GB2312"/>
          <w:bCs/>
          <w:sz w:val="30"/>
          <w:szCs w:val="30"/>
        </w:rPr>
        <w:t>2.具有科学文化素养和终身学习能力</w:t>
      </w:r>
    </w:p>
    <w:p>
      <w:pPr>
        <w:spacing w:line="48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掌握适应时代发展需要的基础知识和基本技能，丰富人文积淀，发展理性思维，不断提升人文素养和科学素养。敢于批判质疑，探索解决问题，勤于动手，善于反思，具有一定的创新精神和实践能力。</w:t>
      </w:r>
    </w:p>
    <w:p>
      <w:pPr>
        <w:spacing w:line="48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具有强烈的好奇心、积极的学习态度和浓厚的学习兴趣。能够自主学习，独立思考，形成良好的学习习惯和适合自身的学习方法。学会获取、判断和处理信息，具备信息化时代的学习与发展能力。</w:t>
      </w:r>
    </w:p>
    <w:p>
      <w:pPr>
        <w:spacing w:line="480" w:lineRule="exact"/>
        <w:ind w:firstLine="600" w:firstLineChars="200"/>
        <w:rPr>
          <w:rFonts w:ascii="楷体_GB2312" w:hAnsi="楷体" w:eastAsia="楷体_GB2312"/>
          <w:bCs/>
          <w:sz w:val="30"/>
          <w:szCs w:val="30"/>
        </w:rPr>
      </w:pPr>
      <w:r>
        <w:rPr>
          <w:rFonts w:hint="eastAsia" w:ascii="楷体_GB2312" w:hAnsi="楷体" w:eastAsia="楷体_GB2312"/>
          <w:bCs/>
          <w:sz w:val="30"/>
          <w:szCs w:val="30"/>
        </w:rPr>
        <w:t>3.具有自主发展能力和沟通合作能力</w:t>
      </w:r>
    </w:p>
    <w:p>
      <w:pPr>
        <w:spacing w:line="48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坚持锻炼身体，养成积极健康的行为习惯与生活方式，珍爱生命，强健体魄。自尊自信自爱，坚韧乐观，奋发向上，具有积极的心理品质。具有发现、鉴赏和创造美的能力，具有健康的审美情趣。学会独立生活，热爱劳动，具备社会适应能力。正确认识自我，具有一定的生涯规划能力。历练敢于担当、不懈奋斗的精神。</w:t>
      </w:r>
    </w:p>
    <w:p>
      <w:pPr>
        <w:spacing w:line="48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文明礼貌，诚信友善，尊重他人，与人和谐相处。学会交流与合作，具有团队精神和一定的组织活动能力，具备全球化时代所需要的交往能力。尊重和理解文化的多样性，具有开放意识和国际视野。</w:t>
      </w:r>
    </w:p>
    <w:p>
      <w:pPr>
        <w:spacing w:line="480" w:lineRule="exact"/>
        <w:ind w:firstLine="600" w:firstLineChars="200"/>
        <w:rPr>
          <w:rFonts w:ascii="黑体" w:hAnsi="黑体" w:eastAsia="黑体"/>
          <w:bCs/>
          <w:sz w:val="30"/>
          <w:szCs w:val="30"/>
        </w:rPr>
      </w:pPr>
      <w:r>
        <w:rPr>
          <w:rFonts w:hint="eastAsia" w:ascii="黑体" w:hAnsi="黑体" w:eastAsia="黑体"/>
          <w:bCs/>
          <w:sz w:val="30"/>
          <w:szCs w:val="30"/>
        </w:rPr>
        <w:t>二、课程设置</w:t>
      </w:r>
    </w:p>
    <w:p>
      <w:pPr>
        <w:spacing w:line="500" w:lineRule="exact"/>
        <w:ind w:firstLine="600" w:firstLineChars="200"/>
        <w:rPr>
          <w:rFonts w:ascii="楷体_GB2312" w:hAnsi="楷体" w:eastAsia="楷体_GB2312"/>
          <w:bCs/>
          <w:sz w:val="30"/>
          <w:szCs w:val="30"/>
        </w:rPr>
      </w:pPr>
      <w:r>
        <w:rPr>
          <w:rFonts w:hint="eastAsia" w:ascii="楷体_GB2312" w:hAnsi="楷体" w:eastAsia="楷体_GB2312"/>
          <w:bCs/>
          <w:sz w:val="30"/>
          <w:szCs w:val="30"/>
        </w:rPr>
        <w:t>1.学制和课时</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普通高中学制为三年。每学年52周，其中教学时间40周（包括新授课时间36周，复习考试及重大活动时间4周），社会实践1周，假期（包括寒暑假、法定节假日）11周。</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结合上海教学实际，落实国家课程方案周课时总时长要求。鼓励学校采用长课与常规课结合的方式排课（长课一般为95分钟/节，常规课一般为40分钟/节），确保周课时总时长达到国家规定的1575分钟，确保学科教学时间总量符合国家课程方案的规定。</w:t>
      </w:r>
    </w:p>
    <w:p>
      <w:pPr>
        <w:spacing w:line="500" w:lineRule="exact"/>
        <w:ind w:firstLine="600" w:firstLineChars="200"/>
        <w:rPr>
          <w:rFonts w:ascii="楷体_GB2312" w:hAnsi="楷体" w:eastAsia="楷体_GB2312"/>
          <w:bCs/>
          <w:sz w:val="30"/>
          <w:szCs w:val="30"/>
        </w:rPr>
      </w:pPr>
      <w:r>
        <w:rPr>
          <w:rFonts w:hint="eastAsia" w:ascii="楷体_GB2312" w:hAnsi="楷体" w:eastAsia="楷体_GB2312"/>
          <w:bCs/>
          <w:sz w:val="30"/>
          <w:szCs w:val="30"/>
        </w:rPr>
        <w:t>2.课程类别</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 xml:space="preserve">普通高中课程由必修、选择性必修、选修三类课程构成。其中， 必修、选择性必修为国家课程，选修为校本课程。 </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必修课程由国家统一设置，所有学生必须全部修习，满足打好学生共同基础的需要，促进学生全面发展。</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选择性必修课程由国家根据学生个性发展和升学考试需要设置。参加普通高等学校招生全国统一考试的学生，必须在本类课程规定范围内选择相关科目修习课程；其他学生结合兴趣爱好，也必须选择部分科目内容修习，以满足毕业学分的要求。</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选修课程由学校根据学生的多样化需求，本市社会、经济、文化发展的需要，学科课程标准的建议，结合学校办学特色和原拓展型、研究型课程等统筹规划开设，学生自主选择修习。</w:t>
      </w:r>
    </w:p>
    <w:p>
      <w:pPr>
        <w:spacing w:line="500" w:lineRule="exact"/>
        <w:ind w:firstLine="600" w:firstLineChars="200"/>
        <w:rPr>
          <w:rFonts w:ascii="楷体_GB2312" w:hAnsi="楷体" w:eastAsia="楷体_GB2312"/>
          <w:bCs/>
          <w:sz w:val="30"/>
          <w:szCs w:val="30"/>
        </w:rPr>
      </w:pPr>
      <w:r>
        <w:rPr>
          <w:rFonts w:hint="eastAsia" w:ascii="楷体_GB2312" w:hAnsi="楷体" w:eastAsia="楷体_GB2312"/>
          <w:bCs/>
          <w:sz w:val="30"/>
          <w:szCs w:val="30"/>
        </w:rPr>
        <w:t xml:space="preserve">3.开设科目与学分安排 </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上海市普通高中开设语文、数学、外语、思想政治、历史、 地理、物理、化学、生物学、技术（含信息技术和通用技术）、艺术(或音乐、美术)、体育与健康等科目和综合实践活动、劳动等国家课程，以及校本课程。</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上海市普通高中采用学年学分制。学生完成相应课程规定的课时学习并考试（考核）合格，即可获取相应学分。1 学分为18 课时。毕业学分最低要求为144学分。其中，必修课程不少于88学分，选择性必修课程不少于42学分，选修课程不少于14学分。</w:t>
      </w:r>
    </w:p>
    <w:p>
      <w:pPr>
        <w:spacing w:line="56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课程</w:t>
      </w:r>
      <w:r>
        <w:rPr>
          <w:rFonts w:ascii="仿宋_GB2312" w:hAnsi="楷体" w:eastAsia="仿宋_GB2312"/>
          <w:bCs/>
          <w:sz w:val="30"/>
          <w:szCs w:val="30"/>
        </w:rPr>
        <w:t>设置</w:t>
      </w:r>
      <w:r>
        <w:rPr>
          <w:rFonts w:hint="eastAsia" w:ascii="仿宋_GB2312" w:hAnsi="楷体" w:eastAsia="仿宋_GB2312"/>
          <w:bCs/>
          <w:sz w:val="30"/>
          <w:szCs w:val="30"/>
        </w:rPr>
        <w:t>与学分安排</w:t>
      </w:r>
      <w:r>
        <w:rPr>
          <w:rFonts w:ascii="仿宋_GB2312" w:hAnsi="楷体" w:eastAsia="仿宋_GB2312"/>
          <w:bCs/>
          <w:sz w:val="30"/>
          <w:szCs w:val="30"/>
        </w:rPr>
        <w:t xml:space="preserve">如下: </w:t>
      </w:r>
    </w:p>
    <w:tbl>
      <w:tblPr>
        <w:tblStyle w:val="4"/>
        <w:tblW w:w="921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21"/>
        <w:gridCol w:w="983"/>
        <w:gridCol w:w="2668"/>
        <w:gridCol w:w="1276"/>
        <w:gridCol w:w="2019"/>
        <w:gridCol w:w="12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1" w:hRule="atLeast"/>
          <w:jc w:val="center"/>
        </w:trPr>
        <w:tc>
          <w:tcPr>
            <w:tcW w:w="4672" w:type="dxa"/>
            <w:gridSpan w:val="3"/>
            <w:tcBorders>
              <w:top w:val="single" w:color="auto" w:sz="2" w:space="0"/>
              <w:left w:val="single" w:color="auto" w:sz="2" w:space="0"/>
              <w:bottom w:val="double" w:color="auto" w:sz="6" w:space="0"/>
              <w:right w:val="single" w:color="auto" w:sz="2"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科目</w:t>
            </w:r>
          </w:p>
        </w:tc>
        <w:tc>
          <w:tcPr>
            <w:tcW w:w="1276" w:type="dxa"/>
            <w:tcBorders>
              <w:top w:val="single" w:color="auto" w:sz="2" w:space="0"/>
              <w:left w:val="single" w:color="auto" w:sz="2" w:space="0"/>
              <w:bottom w:val="double" w:color="auto" w:sz="6" w:space="0"/>
              <w:right w:val="single" w:color="auto" w:sz="2"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必修学分</w:t>
            </w:r>
          </w:p>
        </w:tc>
        <w:tc>
          <w:tcPr>
            <w:tcW w:w="2019" w:type="dxa"/>
            <w:tcBorders>
              <w:top w:val="single" w:color="auto" w:sz="2" w:space="0"/>
              <w:left w:val="single" w:color="auto" w:sz="2" w:space="0"/>
              <w:bottom w:val="double" w:color="auto" w:sz="6" w:space="0"/>
              <w:right w:val="single" w:color="auto" w:sz="2"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选择性必修学分</w:t>
            </w:r>
          </w:p>
        </w:tc>
        <w:tc>
          <w:tcPr>
            <w:tcW w:w="1247" w:type="dxa"/>
            <w:tcBorders>
              <w:top w:val="single" w:color="auto" w:sz="2" w:space="0"/>
              <w:left w:val="single" w:color="auto" w:sz="2" w:space="0"/>
              <w:right w:val="single" w:color="auto" w:sz="2"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选修学分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1021" w:type="dxa"/>
            <w:vMerge w:val="restart"/>
            <w:tcBorders>
              <w:top w:val="double" w:color="auto" w:sz="6" w:space="0"/>
              <w:left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sz w:val="24"/>
              </w:rPr>
            </w:pPr>
            <w:r>
              <w:rPr>
                <w:rFonts w:hint="eastAsia" w:ascii="仿宋_GB2312" w:hAnsi="楷体" w:eastAsia="仿宋_GB2312"/>
                <w:bCs/>
                <w:sz w:val="24"/>
              </w:rPr>
              <w:t>国家</w:t>
            </w:r>
          </w:p>
          <w:p>
            <w:pPr>
              <w:spacing w:line="560" w:lineRule="exact"/>
              <w:jc w:val="center"/>
              <w:rPr>
                <w:rFonts w:ascii="仿宋_GB2312" w:hAnsi="楷体" w:eastAsia="仿宋_GB2312"/>
                <w:bCs/>
              </w:rPr>
            </w:pPr>
            <w:r>
              <w:rPr>
                <w:rFonts w:hint="eastAsia" w:ascii="仿宋_GB2312" w:hAnsi="楷体" w:eastAsia="仿宋_GB2312"/>
                <w:bCs/>
                <w:sz w:val="24"/>
              </w:rPr>
              <w:t>课程</w:t>
            </w:r>
          </w:p>
          <w:p>
            <w:pPr>
              <w:spacing w:line="560" w:lineRule="exact"/>
              <w:jc w:val="center"/>
              <w:rPr>
                <w:rFonts w:ascii="仿宋_GB2312" w:hAnsi="楷体" w:eastAsia="仿宋_GB2312"/>
                <w:bCs/>
              </w:rPr>
            </w:pPr>
          </w:p>
        </w:tc>
        <w:tc>
          <w:tcPr>
            <w:tcW w:w="3651" w:type="dxa"/>
            <w:gridSpan w:val="2"/>
            <w:tcBorders>
              <w:top w:val="double" w:color="auto" w:sz="6" w:space="0"/>
              <w:left w:val="single" w:color="auto" w:sz="4"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语文</w:t>
            </w:r>
          </w:p>
        </w:tc>
        <w:tc>
          <w:tcPr>
            <w:tcW w:w="1276" w:type="dxa"/>
            <w:tcBorders>
              <w:top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8</w:t>
            </w:r>
          </w:p>
        </w:tc>
        <w:tc>
          <w:tcPr>
            <w:tcW w:w="2019" w:type="dxa"/>
            <w:tcBorders>
              <w:top w:val="double" w:color="auto" w:sz="6" w:space="0"/>
              <w:bottom w:val="single" w:color="auto" w:sz="4" w:space="0"/>
              <w:righ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0-6</w:t>
            </w:r>
          </w:p>
        </w:tc>
        <w:tc>
          <w:tcPr>
            <w:tcW w:w="1247" w:type="dxa"/>
            <w:tcBorders>
              <w:lef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1021" w:type="dxa"/>
            <w:vMerge w:val="continue"/>
            <w:tcBorders>
              <w:left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rPr>
            </w:pPr>
          </w:p>
        </w:tc>
        <w:tc>
          <w:tcPr>
            <w:tcW w:w="3651" w:type="dxa"/>
            <w:gridSpan w:val="2"/>
            <w:tcBorders>
              <w:left w:val="single" w:color="auto" w:sz="4"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数学</w:t>
            </w:r>
          </w:p>
        </w:tc>
        <w:tc>
          <w:tcPr>
            <w:tcW w:w="1276" w:type="dxa"/>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8</w:t>
            </w:r>
          </w:p>
        </w:tc>
        <w:tc>
          <w:tcPr>
            <w:tcW w:w="2019" w:type="dxa"/>
            <w:tcBorders>
              <w:righ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0-6</w:t>
            </w:r>
          </w:p>
        </w:tc>
        <w:tc>
          <w:tcPr>
            <w:tcW w:w="1247" w:type="dxa"/>
            <w:tcBorders>
              <w:lef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1021" w:type="dxa"/>
            <w:vMerge w:val="continue"/>
            <w:tcBorders>
              <w:left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rPr>
            </w:pPr>
          </w:p>
        </w:tc>
        <w:tc>
          <w:tcPr>
            <w:tcW w:w="3651" w:type="dxa"/>
            <w:gridSpan w:val="2"/>
            <w:tcBorders>
              <w:left w:val="single" w:color="auto" w:sz="4"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外语</w:t>
            </w:r>
          </w:p>
        </w:tc>
        <w:tc>
          <w:tcPr>
            <w:tcW w:w="1276" w:type="dxa"/>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6</w:t>
            </w:r>
          </w:p>
        </w:tc>
        <w:tc>
          <w:tcPr>
            <w:tcW w:w="2019" w:type="dxa"/>
            <w:tcBorders>
              <w:righ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0-8</w:t>
            </w:r>
          </w:p>
        </w:tc>
        <w:tc>
          <w:tcPr>
            <w:tcW w:w="1247" w:type="dxa"/>
            <w:tcBorders>
              <w:lef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1021" w:type="dxa"/>
            <w:vMerge w:val="continue"/>
            <w:tcBorders>
              <w:left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rPr>
            </w:pPr>
          </w:p>
        </w:tc>
        <w:tc>
          <w:tcPr>
            <w:tcW w:w="3651" w:type="dxa"/>
            <w:gridSpan w:val="2"/>
            <w:tcBorders>
              <w:left w:val="single" w:color="auto" w:sz="4"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思想政治</w:t>
            </w:r>
          </w:p>
        </w:tc>
        <w:tc>
          <w:tcPr>
            <w:tcW w:w="1276" w:type="dxa"/>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6</w:t>
            </w:r>
          </w:p>
        </w:tc>
        <w:tc>
          <w:tcPr>
            <w:tcW w:w="2019" w:type="dxa"/>
            <w:tcBorders>
              <w:righ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0-6</w:t>
            </w:r>
          </w:p>
        </w:tc>
        <w:tc>
          <w:tcPr>
            <w:tcW w:w="1247" w:type="dxa"/>
            <w:tcBorders>
              <w:lef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1021" w:type="dxa"/>
            <w:vMerge w:val="continue"/>
            <w:tcBorders>
              <w:left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rPr>
            </w:pPr>
          </w:p>
        </w:tc>
        <w:tc>
          <w:tcPr>
            <w:tcW w:w="3651" w:type="dxa"/>
            <w:gridSpan w:val="2"/>
            <w:tcBorders>
              <w:left w:val="single" w:color="auto" w:sz="4"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历史</w:t>
            </w:r>
          </w:p>
        </w:tc>
        <w:tc>
          <w:tcPr>
            <w:tcW w:w="1276" w:type="dxa"/>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4</w:t>
            </w:r>
          </w:p>
        </w:tc>
        <w:tc>
          <w:tcPr>
            <w:tcW w:w="2019" w:type="dxa"/>
            <w:tcBorders>
              <w:righ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0-6</w:t>
            </w:r>
          </w:p>
        </w:tc>
        <w:tc>
          <w:tcPr>
            <w:tcW w:w="1247" w:type="dxa"/>
            <w:tcBorders>
              <w:lef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1021" w:type="dxa"/>
            <w:vMerge w:val="continue"/>
            <w:tcBorders>
              <w:left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rPr>
            </w:pPr>
          </w:p>
        </w:tc>
        <w:tc>
          <w:tcPr>
            <w:tcW w:w="3651" w:type="dxa"/>
            <w:gridSpan w:val="2"/>
            <w:tcBorders>
              <w:right w:val="single" w:color="auto" w:sz="4"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地理</w:t>
            </w:r>
          </w:p>
        </w:tc>
        <w:tc>
          <w:tcPr>
            <w:tcW w:w="1276" w:type="dxa"/>
            <w:tcBorders>
              <w:left w:val="single" w:color="auto" w:sz="4"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4</w:t>
            </w:r>
          </w:p>
        </w:tc>
        <w:tc>
          <w:tcPr>
            <w:tcW w:w="2019" w:type="dxa"/>
            <w:tcBorders>
              <w:righ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0-6</w:t>
            </w:r>
          </w:p>
        </w:tc>
        <w:tc>
          <w:tcPr>
            <w:tcW w:w="1247" w:type="dxa"/>
            <w:tcBorders>
              <w:lef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1021" w:type="dxa"/>
            <w:vMerge w:val="continue"/>
            <w:tcBorders>
              <w:left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rPr>
            </w:pPr>
          </w:p>
        </w:tc>
        <w:tc>
          <w:tcPr>
            <w:tcW w:w="3651" w:type="dxa"/>
            <w:gridSpan w:val="2"/>
            <w:tcBorders>
              <w:right w:val="single" w:color="auto" w:sz="4"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物理</w:t>
            </w:r>
          </w:p>
        </w:tc>
        <w:tc>
          <w:tcPr>
            <w:tcW w:w="1276" w:type="dxa"/>
            <w:tcBorders>
              <w:left w:val="single" w:color="auto" w:sz="4"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6</w:t>
            </w:r>
          </w:p>
        </w:tc>
        <w:tc>
          <w:tcPr>
            <w:tcW w:w="2019" w:type="dxa"/>
            <w:tcBorders>
              <w:righ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0-6</w:t>
            </w:r>
          </w:p>
        </w:tc>
        <w:tc>
          <w:tcPr>
            <w:tcW w:w="1247" w:type="dxa"/>
            <w:tcBorders>
              <w:lef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1021" w:type="dxa"/>
            <w:vMerge w:val="continue"/>
            <w:tcBorders>
              <w:left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rPr>
            </w:pPr>
          </w:p>
        </w:tc>
        <w:tc>
          <w:tcPr>
            <w:tcW w:w="3651" w:type="dxa"/>
            <w:gridSpan w:val="2"/>
            <w:tcBorders>
              <w:right w:val="single" w:color="auto" w:sz="4"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化学</w:t>
            </w:r>
          </w:p>
        </w:tc>
        <w:tc>
          <w:tcPr>
            <w:tcW w:w="1276" w:type="dxa"/>
            <w:tcBorders>
              <w:left w:val="single" w:color="auto" w:sz="4"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4</w:t>
            </w:r>
          </w:p>
        </w:tc>
        <w:tc>
          <w:tcPr>
            <w:tcW w:w="2019" w:type="dxa"/>
            <w:tcBorders>
              <w:bottom w:val="single" w:color="auto" w:sz="4" w:space="0"/>
              <w:righ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0-6</w:t>
            </w:r>
          </w:p>
        </w:tc>
        <w:tc>
          <w:tcPr>
            <w:tcW w:w="1247" w:type="dxa"/>
            <w:tcBorders>
              <w:lef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1021" w:type="dxa"/>
            <w:vMerge w:val="continue"/>
            <w:tcBorders>
              <w:left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rPr>
            </w:pPr>
          </w:p>
        </w:tc>
        <w:tc>
          <w:tcPr>
            <w:tcW w:w="3651" w:type="dxa"/>
            <w:gridSpan w:val="2"/>
            <w:tcBorders>
              <w:right w:val="single" w:color="auto" w:sz="4"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生物学</w:t>
            </w:r>
          </w:p>
        </w:tc>
        <w:tc>
          <w:tcPr>
            <w:tcW w:w="1276" w:type="dxa"/>
            <w:tcBorders>
              <w:left w:val="single" w:color="auto" w:sz="4"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4</w:t>
            </w:r>
          </w:p>
        </w:tc>
        <w:tc>
          <w:tcPr>
            <w:tcW w:w="2019" w:type="dxa"/>
            <w:tcBorders>
              <w:bottom w:val="single" w:color="auto" w:sz="4" w:space="0"/>
              <w:righ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0-6</w:t>
            </w:r>
          </w:p>
        </w:tc>
        <w:tc>
          <w:tcPr>
            <w:tcW w:w="1247" w:type="dxa"/>
            <w:tcBorders>
              <w:lef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 w:hRule="atLeast"/>
          <w:jc w:val="center"/>
        </w:trPr>
        <w:tc>
          <w:tcPr>
            <w:tcW w:w="1021" w:type="dxa"/>
            <w:vMerge w:val="continue"/>
            <w:tcBorders>
              <w:left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rPr>
            </w:pPr>
          </w:p>
        </w:tc>
        <w:tc>
          <w:tcPr>
            <w:tcW w:w="3651" w:type="dxa"/>
            <w:gridSpan w:val="2"/>
            <w:tcBorders>
              <w:right w:val="single" w:color="auto" w:sz="4"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技术（含信息技术和通用技术）</w:t>
            </w:r>
          </w:p>
        </w:tc>
        <w:tc>
          <w:tcPr>
            <w:tcW w:w="1276" w:type="dxa"/>
            <w:tcBorders>
              <w:left w:val="single" w:color="auto" w:sz="4"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6</w:t>
            </w:r>
          </w:p>
        </w:tc>
        <w:tc>
          <w:tcPr>
            <w:tcW w:w="2019" w:type="dxa"/>
            <w:tcBorders>
              <w:righ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0-18</w:t>
            </w:r>
          </w:p>
        </w:tc>
        <w:tc>
          <w:tcPr>
            <w:tcW w:w="1247" w:type="dxa"/>
            <w:tcBorders>
              <w:lef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7" w:hRule="atLeast"/>
          <w:jc w:val="center"/>
        </w:trPr>
        <w:tc>
          <w:tcPr>
            <w:tcW w:w="1021" w:type="dxa"/>
            <w:vMerge w:val="continue"/>
            <w:tcBorders>
              <w:left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rPr>
            </w:pPr>
          </w:p>
        </w:tc>
        <w:tc>
          <w:tcPr>
            <w:tcW w:w="3651" w:type="dxa"/>
            <w:gridSpan w:val="2"/>
            <w:tcBorders>
              <w:right w:val="single" w:color="auto" w:sz="4"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艺术（或音乐、美术）</w:t>
            </w:r>
          </w:p>
        </w:tc>
        <w:tc>
          <w:tcPr>
            <w:tcW w:w="1276" w:type="dxa"/>
            <w:tcBorders>
              <w:left w:val="single" w:color="auto" w:sz="4"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6</w:t>
            </w:r>
          </w:p>
        </w:tc>
        <w:tc>
          <w:tcPr>
            <w:tcW w:w="2019" w:type="dxa"/>
            <w:tcBorders>
              <w:righ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0-18</w:t>
            </w:r>
          </w:p>
        </w:tc>
        <w:tc>
          <w:tcPr>
            <w:tcW w:w="1247" w:type="dxa"/>
            <w:tcBorders>
              <w:lef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1021" w:type="dxa"/>
            <w:vMerge w:val="continue"/>
            <w:tcBorders>
              <w:left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rPr>
            </w:pPr>
          </w:p>
        </w:tc>
        <w:tc>
          <w:tcPr>
            <w:tcW w:w="3651" w:type="dxa"/>
            <w:gridSpan w:val="2"/>
            <w:tcBorders>
              <w:bottom w:val="single" w:color="auto" w:sz="4" w:space="0"/>
              <w:right w:val="single" w:color="auto" w:sz="4"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体育与健康</w:t>
            </w:r>
          </w:p>
        </w:tc>
        <w:tc>
          <w:tcPr>
            <w:tcW w:w="1276" w:type="dxa"/>
            <w:tcBorders>
              <w:left w:val="single" w:color="auto" w:sz="4" w:space="0"/>
              <w:right w:val="single" w:color="auto" w:sz="4"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12</w:t>
            </w:r>
          </w:p>
        </w:tc>
        <w:tc>
          <w:tcPr>
            <w:tcW w:w="2019" w:type="dxa"/>
            <w:tcBorders>
              <w:left w:val="single" w:color="auto" w:sz="4" w:space="0"/>
              <w:righ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0-18</w:t>
            </w:r>
          </w:p>
        </w:tc>
        <w:tc>
          <w:tcPr>
            <w:tcW w:w="1247" w:type="dxa"/>
            <w:tcBorders>
              <w:lef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jc w:val="center"/>
        </w:trPr>
        <w:tc>
          <w:tcPr>
            <w:tcW w:w="1021" w:type="dxa"/>
            <w:vMerge w:val="continue"/>
            <w:tcBorders>
              <w:left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sz w:val="24"/>
              </w:rPr>
            </w:pPr>
          </w:p>
        </w:tc>
        <w:tc>
          <w:tcPr>
            <w:tcW w:w="983" w:type="dxa"/>
            <w:vMerge w:val="restart"/>
            <w:tcBorders>
              <w:top w:val="single" w:color="auto" w:sz="4" w:space="0"/>
              <w:left w:val="single" w:color="auto" w:sz="4"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综合实践活动</w:t>
            </w:r>
          </w:p>
        </w:tc>
        <w:tc>
          <w:tcPr>
            <w:tcW w:w="2668" w:type="dxa"/>
            <w:tcBorders>
              <w:top w:val="single" w:color="auto" w:sz="4" w:space="0"/>
              <w:left w:val="single" w:color="auto" w:sz="4"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研究性学习</w:t>
            </w:r>
          </w:p>
        </w:tc>
        <w:tc>
          <w:tcPr>
            <w:tcW w:w="1276" w:type="dxa"/>
            <w:tcBorders>
              <w:top w:val="single" w:color="auto" w:sz="4" w:space="0"/>
              <w:right w:val="single" w:color="auto" w:sz="4"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6</w:t>
            </w:r>
          </w:p>
        </w:tc>
        <w:tc>
          <w:tcPr>
            <w:tcW w:w="2019" w:type="dxa"/>
            <w:tcBorders>
              <w:top w:val="single" w:color="auto" w:sz="4" w:space="0"/>
              <w:left w:val="single" w:color="auto" w:sz="4" w:space="0"/>
              <w:righ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rPr>
              <w:t>-</w:t>
            </w:r>
          </w:p>
        </w:tc>
        <w:tc>
          <w:tcPr>
            <w:tcW w:w="1247" w:type="dxa"/>
            <w:tcBorders>
              <w:top w:val="single" w:color="auto" w:sz="4" w:space="0"/>
              <w:lef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1021" w:type="dxa"/>
            <w:vMerge w:val="continue"/>
            <w:tcBorders>
              <w:left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sz w:val="24"/>
              </w:rPr>
            </w:pPr>
          </w:p>
        </w:tc>
        <w:tc>
          <w:tcPr>
            <w:tcW w:w="983" w:type="dxa"/>
            <w:vMerge w:val="continue"/>
            <w:tcBorders>
              <w:left w:val="single" w:color="auto" w:sz="4" w:space="0"/>
              <w:bottom w:val="single" w:color="auto" w:sz="4" w:space="0"/>
            </w:tcBorders>
            <w:shd w:val="clear" w:color="auto" w:fill="auto"/>
            <w:vAlign w:val="center"/>
          </w:tcPr>
          <w:p>
            <w:pPr>
              <w:spacing w:line="560" w:lineRule="exact"/>
              <w:jc w:val="center"/>
              <w:rPr>
                <w:rFonts w:ascii="仿宋_GB2312" w:hAnsi="楷体" w:eastAsia="仿宋_GB2312"/>
                <w:bCs/>
              </w:rPr>
            </w:pPr>
          </w:p>
        </w:tc>
        <w:tc>
          <w:tcPr>
            <w:tcW w:w="2668" w:type="dxa"/>
            <w:tcBorders>
              <w:left w:val="single" w:color="auto" w:sz="4" w:space="0"/>
              <w:bottom w:val="single" w:color="auto" w:sz="4" w:space="0"/>
            </w:tcBorders>
            <w:shd w:val="clear" w:color="auto" w:fill="auto"/>
            <w:vAlign w:val="center"/>
          </w:tcPr>
          <w:p>
            <w:pPr>
              <w:spacing w:line="560" w:lineRule="exact"/>
              <w:jc w:val="center"/>
              <w:rPr>
                <w:rFonts w:ascii="仿宋_GB2312" w:hAnsi="楷体" w:eastAsia="仿宋_GB2312"/>
                <w:bCs/>
                <w:sz w:val="24"/>
              </w:rPr>
            </w:pPr>
            <w:r>
              <w:rPr>
                <w:rFonts w:hint="eastAsia" w:ascii="仿宋_GB2312" w:hAnsi="楷体" w:eastAsia="仿宋_GB2312"/>
                <w:bCs/>
                <w:sz w:val="24"/>
              </w:rPr>
              <w:t>党团活动、军训、</w:t>
            </w:r>
          </w:p>
          <w:p>
            <w:pPr>
              <w:spacing w:line="560" w:lineRule="exact"/>
              <w:jc w:val="center"/>
              <w:rPr>
                <w:rFonts w:ascii="仿宋_GB2312" w:hAnsi="宋体" w:eastAsia="仿宋_GB2312"/>
                <w:bCs/>
              </w:rPr>
            </w:pPr>
            <w:r>
              <w:rPr>
                <w:rFonts w:hint="eastAsia" w:ascii="仿宋_GB2312" w:hAnsi="楷体" w:eastAsia="仿宋_GB2312"/>
                <w:bCs/>
                <w:sz w:val="24"/>
              </w:rPr>
              <w:t>社会考察等</w:t>
            </w:r>
          </w:p>
        </w:tc>
        <w:tc>
          <w:tcPr>
            <w:tcW w:w="1276" w:type="dxa"/>
            <w:tcBorders>
              <w:bottom w:val="single" w:color="auto" w:sz="4" w:space="0"/>
              <w:right w:val="single" w:color="auto" w:sz="4"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2</w:t>
            </w:r>
          </w:p>
        </w:tc>
        <w:tc>
          <w:tcPr>
            <w:tcW w:w="2019" w:type="dxa"/>
            <w:tcBorders>
              <w:left w:val="single" w:color="auto" w:sz="4" w:space="0"/>
              <w:bottom w:val="single" w:color="auto" w:sz="4" w:space="0"/>
              <w:righ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rPr>
              <w:t>-</w:t>
            </w:r>
          </w:p>
        </w:tc>
        <w:tc>
          <w:tcPr>
            <w:tcW w:w="1247" w:type="dxa"/>
            <w:tcBorders>
              <w:left w:val="double" w:color="auto" w:sz="6" w:space="0"/>
              <w:bottom w:val="single" w:color="auto" w:sz="4"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1021" w:type="dxa"/>
            <w:vMerge w:val="continue"/>
            <w:tcBorders>
              <w:left w:val="double" w:color="auto" w:sz="6" w:space="0"/>
              <w:bottom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sz w:val="24"/>
              </w:rPr>
            </w:pPr>
          </w:p>
        </w:tc>
        <w:tc>
          <w:tcPr>
            <w:tcW w:w="983" w:type="dxa"/>
            <w:tcBorders>
              <w:top w:val="single" w:color="auto" w:sz="4" w:space="0"/>
              <w:left w:val="single" w:color="auto" w:sz="4" w:space="0"/>
              <w:bottom w:val="double" w:color="auto" w:sz="6" w:space="0"/>
            </w:tcBorders>
            <w:shd w:val="clear" w:color="auto" w:fill="auto"/>
            <w:vAlign w:val="center"/>
          </w:tcPr>
          <w:p>
            <w:pPr>
              <w:spacing w:line="560" w:lineRule="exact"/>
              <w:jc w:val="center"/>
              <w:rPr>
                <w:rFonts w:ascii="仿宋_GB2312" w:hAnsi="楷体" w:eastAsia="仿宋_GB2312"/>
                <w:bCs/>
                <w:sz w:val="24"/>
              </w:rPr>
            </w:pPr>
            <w:r>
              <w:rPr>
                <w:rFonts w:hint="eastAsia" w:ascii="仿宋_GB2312" w:hAnsi="楷体" w:eastAsia="仿宋_GB2312"/>
                <w:bCs/>
                <w:sz w:val="24"/>
              </w:rPr>
              <w:t>劳动</w:t>
            </w:r>
          </w:p>
        </w:tc>
        <w:tc>
          <w:tcPr>
            <w:tcW w:w="2668" w:type="dxa"/>
            <w:tcBorders>
              <w:top w:val="single" w:color="auto" w:sz="4" w:space="0"/>
              <w:left w:val="single" w:color="auto" w:sz="4" w:space="0"/>
              <w:bottom w:val="double" w:color="auto" w:sz="6" w:space="0"/>
            </w:tcBorders>
            <w:shd w:val="clear" w:color="auto" w:fill="auto"/>
            <w:vAlign w:val="center"/>
          </w:tcPr>
          <w:p>
            <w:pPr>
              <w:spacing w:line="560" w:lineRule="exact"/>
              <w:jc w:val="center"/>
              <w:rPr>
                <w:rFonts w:ascii="仿宋_GB2312" w:hAnsi="楷体" w:eastAsia="仿宋_GB2312"/>
                <w:bCs/>
                <w:sz w:val="24"/>
              </w:rPr>
            </w:pPr>
            <w:r>
              <w:rPr>
                <w:rFonts w:hint="eastAsia" w:ascii="仿宋_GB2312" w:hAnsi="楷体" w:eastAsia="仿宋_GB2312"/>
                <w:bCs/>
                <w:sz w:val="24"/>
              </w:rPr>
              <w:t>志愿服务</w:t>
            </w:r>
            <w:r>
              <w:rPr>
                <w:rFonts w:ascii="仿宋_GB2312" w:hAnsi="楷体" w:eastAsia="仿宋_GB2312"/>
                <w:bCs/>
                <w:sz w:val="24"/>
              </w:rPr>
              <w:t>+</w:t>
            </w:r>
            <w:r>
              <w:rPr>
                <w:rFonts w:hint="eastAsia" w:ascii="仿宋_GB2312" w:hAnsi="楷体" w:eastAsia="仿宋_GB2312"/>
                <w:bCs/>
                <w:sz w:val="24"/>
              </w:rPr>
              <w:t>统筹内容</w:t>
            </w:r>
          </w:p>
        </w:tc>
        <w:tc>
          <w:tcPr>
            <w:tcW w:w="1276" w:type="dxa"/>
            <w:tcBorders>
              <w:top w:val="single" w:color="auto" w:sz="4" w:space="0"/>
              <w:bottom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sz w:val="24"/>
              </w:rPr>
            </w:pPr>
            <w:r>
              <w:rPr>
                <w:rFonts w:ascii="仿宋_GB2312" w:hAnsi="楷体" w:eastAsia="仿宋_GB2312"/>
                <w:bCs/>
                <w:sz w:val="24"/>
              </w:rPr>
              <w:t>2+4</w:t>
            </w:r>
          </w:p>
        </w:tc>
        <w:tc>
          <w:tcPr>
            <w:tcW w:w="2019" w:type="dxa"/>
            <w:tcBorders>
              <w:top w:val="single" w:color="auto" w:sz="4" w:space="0"/>
              <w:left w:val="single" w:color="auto" w:sz="4" w:space="0"/>
              <w:bottom w:val="double" w:color="auto" w:sz="6" w:space="0"/>
              <w:righ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rPr>
              <w:t>-</w:t>
            </w:r>
          </w:p>
        </w:tc>
        <w:tc>
          <w:tcPr>
            <w:tcW w:w="1247" w:type="dxa"/>
            <w:tcBorders>
              <w:top w:val="single" w:color="auto" w:sz="4" w:space="0"/>
              <w:left w:val="double" w:color="auto" w:sz="6"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6" w:hRule="atLeast"/>
          <w:jc w:val="center"/>
        </w:trPr>
        <w:tc>
          <w:tcPr>
            <w:tcW w:w="1021" w:type="dxa"/>
            <w:tcBorders>
              <w:top w:val="double" w:color="auto" w:sz="6" w:space="0"/>
              <w:right w:val="single" w:color="auto" w:sz="4" w:space="0"/>
            </w:tcBorders>
            <w:shd w:val="clear" w:color="auto" w:fill="auto"/>
            <w:vAlign w:val="center"/>
          </w:tcPr>
          <w:p>
            <w:pPr>
              <w:spacing w:line="560" w:lineRule="exact"/>
              <w:jc w:val="center"/>
              <w:rPr>
                <w:rFonts w:ascii="仿宋_GB2312" w:hAnsi="楷体" w:eastAsia="仿宋_GB2312"/>
                <w:bCs/>
                <w:sz w:val="24"/>
              </w:rPr>
            </w:pPr>
            <w:r>
              <w:rPr>
                <w:rFonts w:hint="eastAsia" w:ascii="仿宋_GB2312" w:hAnsi="楷体" w:eastAsia="仿宋_GB2312"/>
                <w:bCs/>
                <w:sz w:val="24"/>
              </w:rPr>
              <w:t>校本</w:t>
            </w:r>
          </w:p>
          <w:p>
            <w:pPr>
              <w:spacing w:line="560" w:lineRule="exact"/>
              <w:jc w:val="center"/>
              <w:rPr>
                <w:rFonts w:ascii="仿宋_GB2312" w:hAnsi="楷体" w:eastAsia="仿宋_GB2312"/>
                <w:bCs/>
                <w:sz w:val="24"/>
              </w:rPr>
            </w:pPr>
            <w:r>
              <w:rPr>
                <w:rFonts w:hint="eastAsia" w:ascii="仿宋_GB2312" w:hAnsi="楷体" w:eastAsia="仿宋_GB2312"/>
                <w:bCs/>
                <w:sz w:val="24"/>
              </w:rPr>
              <w:t>课程</w:t>
            </w:r>
          </w:p>
        </w:tc>
        <w:tc>
          <w:tcPr>
            <w:tcW w:w="8193" w:type="dxa"/>
            <w:gridSpan w:val="5"/>
            <w:tcBorders>
              <w:left w:val="single" w:color="auto" w:sz="4" w:space="0"/>
            </w:tcBorders>
            <w:shd w:val="clear" w:color="auto" w:fill="auto"/>
            <w:vAlign w:val="center"/>
          </w:tcPr>
          <w:p>
            <w:pPr>
              <w:spacing w:line="560" w:lineRule="exact"/>
              <w:rPr>
                <w:rFonts w:ascii="仿宋_GB2312" w:hAnsi="楷体" w:eastAsia="仿宋_GB2312"/>
                <w:bCs/>
                <w:sz w:val="24"/>
              </w:rPr>
            </w:pPr>
            <w:r>
              <w:rPr>
                <w:rFonts w:hint="eastAsia" w:ascii="仿宋_GB2312" w:hAnsi="楷体" w:eastAsia="仿宋_GB2312"/>
                <w:bCs/>
                <w:sz w:val="24"/>
              </w:rPr>
              <w:t>至少</w:t>
            </w:r>
            <w:r>
              <w:rPr>
                <w:rFonts w:ascii="仿宋_GB2312" w:hAnsi="楷体" w:eastAsia="仿宋_GB2312"/>
                <w:bCs/>
                <w:sz w:val="24"/>
              </w:rPr>
              <w:t>14</w:t>
            </w:r>
            <w:r>
              <w:rPr>
                <w:rFonts w:hint="eastAsia" w:ascii="仿宋_GB2312" w:hAnsi="楷体" w:eastAsia="仿宋_GB2312"/>
                <w:bCs/>
                <w:sz w:val="24"/>
              </w:rPr>
              <w:t>学分。其中，在必修和选择性必修基础上设计的学科拓展、提高及整合性课程之外的课程不少于</w:t>
            </w:r>
            <w:r>
              <w:rPr>
                <w:rFonts w:ascii="仿宋_GB2312" w:hAnsi="楷体" w:eastAsia="仿宋_GB2312"/>
                <w:bCs/>
                <w:sz w:val="24"/>
              </w:rPr>
              <w:t xml:space="preserve"> 8 </w:t>
            </w:r>
            <w:r>
              <w:rPr>
                <w:rFonts w:hint="eastAsia" w:ascii="仿宋_GB2312" w:hAnsi="楷体" w:eastAsia="仿宋_GB2312"/>
                <w:bCs/>
                <w:sz w:val="24"/>
              </w:rPr>
              <w:t>学分，倡导开设研究型、跨学科和专题教育等课程，体现学校特色。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4672" w:type="dxa"/>
            <w:gridSpan w:val="3"/>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合计</w:t>
            </w:r>
          </w:p>
        </w:tc>
        <w:tc>
          <w:tcPr>
            <w:tcW w:w="1276" w:type="dxa"/>
            <w:tcBorders>
              <w:right w:val="single" w:color="auto" w:sz="4" w:space="0"/>
            </w:tcBorders>
            <w:shd w:val="clear" w:color="auto" w:fill="auto"/>
            <w:vAlign w:val="center"/>
          </w:tcPr>
          <w:p>
            <w:pPr>
              <w:spacing w:line="560" w:lineRule="exact"/>
              <w:jc w:val="center"/>
              <w:rPr>
                <w:rFonts w:ascii="仿宋_GB2312" w:hAnsi="楷体" w:eastAsia="仿宋_GB2312"/>
                <w:bCs/>
              </w:rPr>
            </w:pPr>
            <w:r>
              <w:rPr>
                <w:rFonts w:ascii="仿宋_GB2312" w:hAnsi="楷体" w:eastAsia="仿宋_GB2312"/>
                <w:bCs/>
                <w:sz w:val="24"/>
              </w:rPr>
              <w:t>88</w:t>
            </w:r>
          </w:p>
        </w:tc>
        <w:tc>
          <w:tcPr>
            <w:tcW w:w="2019" w:type="dxa"/>
            <w:tcBorders>
              <w:left w:val="single" w:color="auto" w:sz="4"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w:t>
            </w:r>
            <w:r>
              <w:rPr>
                <w:rFonts w:ascii="仿宋_GB2312" w:hAnsi="楷体" w:eastAsia="仿宋_GB2312"/>
                <w:bCs/>
                <w:sz w:val="24"/>
              </w:rPr>
              <w:t>42</w:t>
            </w:r>
          </w:p>
        </w:tc>
        <w:tc>
          <w:tcPr>
            <w:tcW w:w="1247" w:type="dxa"/>
            <w:tcBorders>
              <w:left w:val="single" w:color="auto" w:sz="4" w:space="0"/>
            </w:tcBorders>
            <w:shd w:val="clear" w:color="auto" w:fill="auto"/>
            <w:vAlign w:val="center"/>
          </w:tcPr>
          <w:p>
            <w:pPr>
              <w:spacing w:line="560" w:lineRule="exact"/>
              <w:jc w:val="center"/>
              <w:rPr>
                <w:rFonts w:ascii="仿宋_GB2312" w:hAnsi="楷体" w:eastAsia="仿宋_GB2312"/>
                <w:bCs/>
              </w:rPr>
            </w:pPr>
            <w:r>
              <w:rPr>
                <w:rFonts w:hint="eastAsia" w:ascii="仿宋_GB2312" w:hAnsi="楷体" w:eastAsia="仿宋_GB2312"/>
                <w:bCs/>
                <w:sz w:val="24"/>
              </w:rPr>
              <w:t>≥</w:t>
            </w:r>
            <w:r>
              <w:rPr>
                <w:rFonts w:ascii="仿宋_GB2312" w:hAnsi="楷体" w:eastAsia="仿宋_GB2312"/>
                <w:bCs/>
                <w:sz w:val="24"/>
              </w:rPr>
              <w:t>14</w:t>
            </w:r>
          </w:p>
        </w:tc>
      </w:tr>
    </w:tbl>
    <w:p>
      <w:pPr>
        <w:spacing w:line="560" w:lineRule="exact"/>
        <w:ind w:firstLine="560" w:firstLineChars="200"/>
        <w:rPr>
          <w:rFonts w:ascii="仿宋_GB2312" w:hAnsi="楷体" w:eastAsia="仿宋_GB2312"/>
          <w:bCs/>
          <w:sz w:val="28"/>
          <w:szCs w:val="28"/>
        </w:rPr>
      </w:pPr>
    </w:p>
    <w:p>
      <w:pPr>
        <w:spacing w:line="500" w:lineRule="exact"/>
        <w:ind w:firstLine="600" w:firstLineChars="200"/>
        <w:rPr>
          <w:rFonts w:ascii="楷体_GB2312" w:hAnsi="楷体" w:eastAsia="楷体_GB2312"/>
          <w:bCs/>
          <w:sz w:val="30"/>
          <w:szCs w:val="30"/>
        </w:rPr>
      </w:pPr>
      <w:r>
        <w:rPr>
          <w:rFonts w:hint="eastAsia" w:ascii="楷体_GB2312" w:hAnsi="楷体" w:eastAsia="楷体_GB2312"/>
          <w:bCs/>
          <w:sz w:val="30"/>
          <w:szCs w:val="30"/>
        </w:rPr>
        <w:t>4.科目设计</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科目内容应根据学科自身特点和学生学习需要来设计。必修内容原则上按学期或学年设计，选修内容原则上按模块设计。模块之间既相对独立，又体现学科内在逻辑。模块教学时间根据实际需要设定，一般为18课时的倍数。</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外语包括英语、日语、俄语、德语、法语、西班牙语。学校自主选择第一外语语种。鼓励学校创造条件开设第二外语。</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信息技术和通用技术，按照国家课程方案执行。</w:t>
      </w:r>
      <w:r>
        <w:rPr>
          <w:rFonts w:hint="eastAsia" w:ascii="仿宋_GB2312" w:hAnsi="华文仿宋" w:eastAsia="仿宋_GB2312" w:cs="宋体"/>
          <w:bCs/>
          <w:kern w:val="0"/>
          <w:sz w:val="30"/>
          <w:szCs w:val="30"/>
        </w:rPr>
        <w:t>探索实施信息技术跨学科学习，共1个学分。</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艺术（或音乐、美术）鼓励融合实施，坚持共同基础与个性发展兼顾的原则，既要体现对学生艺术素养的培育，又要关注美术、音乐等方面的兴趣专长。学生须在高中阶段完成6个必修学分的修习，其中至少完成共同基础2个学分的修习，剩余学分用于兴趣专长学习。可以选用艺术、音乐、美术全套教材的相关内容作为6个必修学分的教学资源。普通学校建议以区为单位，由区教育行政部门牵头统一设定必修学分构成，组织落实相关教研活动；特色学校的学分构成可以由学校自行确定，在市区教研部门的指导下，探索通过特色学校市级联盟的形式开展教研活动。</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体育与健康的必修内容，高中三学年必须持续开设。</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 xml:space="preserve">劳动共 6 学分，其中志愿服务 2 学分，在课外时间进行，三年不少于60课时;其余 4 学分内容与通用技术的选择性必修内容以及校本课程内容统筹。 </w:t>
      </w:r>
    </w:p>
    <w:p>
      <w:pPr>
        <w:spacing w:line="500" w:lineRule="exact"/>
        <w:ind w:firstLine="600" w:firstLineChars="200"/>
        <w:rPr>
          <w:rFonts w:ascii="黑体" w:hAnsi="黑体" w:eastAsia="黑体"/>
          <w:bCs/>
          <w:sz w:val="30"/>
          <w:szCs w:val="30"/>
        </w:rPr>
      </w:pPr>
      <w:r>
        <w:rPr>
          <w:rFonts w:hint="eastAsia" w:ascii="黑体" w:hAnsi="黑体" w:eastAsia="黑体"/>
          <w:bCs/>
          <w:sz w:val="30"/>
          <w:szCs w:val="30"/>
        </w:rPr>
        <w:t>三、实施与评价</w:t>
      </w:r>
    </w:p>
    <w:p>
      <w:pPr>
        <w:spacing w:line="500" w:lineRule="exact"/>
        <w:ind w:firstLine="600" w:firstLineChars="200"/>
        <w:rPr>
          <w:rFonts w:ascii="楷体_GB2312" w:hAnsi="楷体" w:eastAsia="楷体_GB2312"/>
          <w:bCs/>
          <w:sz w:val="30"/>
          <w:szCs w:val="30"/>
        </w:rPr>
      </w:pPr>
      <w:r>
        <w:rPr>
          <w:rFonts w:hint="eastAsia" w:ascii="楷体_GB2312" w:hAnsi="楷体" w:eastAsia="楷体_GB2312"/>
          <w:bCs/>
          <w:sz w:val="30"/>
          <w:szCs w:val="30"/>
        </w:rPr>
        <w:t>1.合理规划学校课程</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编制学校课程实施规划。落实国家课程方案和各学科课程标准有关要求，依据本实施方案，参照《上海市普通高中课程计划示例》，结合学校办学目标、学生特点和实际条件，研制满足学生发展需要的学校课程实施规划。开齐国家规定的各类课程，特别是综合实践活动、劳动、技术（含信息技术和通用技术）、艺术（或音乐、美术）、体育与健康等课程；开足规定的课时，如果确有需要，可适当调整课堂教学时长，但应保证科目教学时间总量不变。科学安排每学年授课科目，特别是控制高一年级必修课程并开科目数量。</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积极探索跨学科学习活动的开展。学校应依据立德树人根本任务要求，以学生核心素养培育为目标，注重学科知识的整合发展，强调现实问题的跨学科解决，关注学科核心概念及跨学科大概念的运用，着力培养学生的理想信念、社会责任感、创新精神与实践能力。在学校课程实践中，应结合学校办学特色，设置具体的跨学科学习目标，认真研究学生的课程需求，充分挖掘课程资源，整合不同学科的知识形成跨学科主题，开发、开设丰富多彩的跨学科课程，为学生提供整合性的跨学科学习空间。也可以结合学校实际，整合实施各类专题教育。</w:t>
      </w:r>
    </w:p>
    <w:p>
      <w:pPr>
        <w:spacing w:line="500" w:lineRule="exact"/>
        <w:ind w:firstLine="600" w:firstLineChars="200"/>
        <w:rPr>
          <w:rFonts w:ascii="楷体_GB2312" w:hAnsi="楷体" w:eastAsia="楷体_GB2312"/>
          <w:bCs/>
          <w:sz w:val="30"/>
          <w:szCs w:val="30"/>
        </w:rPr>
      </w:pPr>
      <w:r>
        <w:rPr>
          <w:rFonts w:hint="eastAsia" w:ascii="楷体_GB2312" w:hAnsi="楷体" w:eastAsia="楷体_GB2312"/>
          <w:bCs/>
          <w:sz w:val="30"/>
          <w:szCs w:val="30"/>
        </w:rPr>
        <w:t>2.切实加强学生发展指导</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学校应建立学生发展指导制度，建立高中专职辅导教师与全员导师制相结合的学生成长服务机制，组建专门队伍，加强对学生思想、心理、学业、生活、生涯规划等方面的指导。通过开设生涯教育和心理健康教育课程、组织生涯教育辅导实践活动、家校合作社区联动等路径，开展多种形式的指导活动。帮助学生树立坚定的社会主义理想信念，正确地认识自我，更好地适应高中阶段的学习与生活，处理好兴趣特长、潜能倾向与社会需要的关系，选择适合的发展方向，提高生涯规划能力和自主发展能力。</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学校应建立选课指导制度，提供课程说明和选课指南，安排班主任或导师与学生建立相对固定的联系，指导学生选课，帮助学生形成个性化的课程修习方案，引导家长正确对待和帮助学生选课。</w:t>
      </w:r>
    </w:p>
    <w:p>
      <w:pPr>
        <w:spacing w:line="500" w:lineRule="exact"/>
        <w:ind w:firstLine="600" w:firstLineChars="200"/>
        <w:rPr>
          <w:rFonts w:ascii="楷体_GB2312" w:hAnsi="楷体" w:eastAsia="楷体_GB2312"/>
          <w:bCs/>
          <w:sz w:val="30"/>
          <w:szCs w:val="30"/>
        </w:rPr>
      </w:pPr>
      <w:r>
        <w:rPr>
          <w:rFonts w:hint="eastAsia" w:ascii="楷体_GB2312" w:hAnsi="楷体" w:eastAsia="楷体_GB2312"/>
          <w:bCs/>
          <w:sz w:val="30"/>
          <w:szCs w:val="30"/>
        </w:rPr>
        <w:t>3.大力推进教学改革</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开展基于课程标准的教学。深入理解普通高中课程改革要求，准确把握课程标准和教材，围绕核心素养开展教学与评价。关注学生学习过程，创设与生活关联的、任务导向的真实情境，促进学生自主、合作、探究地学习，注重对学生学习过程的评价，推进信息技术在教学中的合理应用，提高课程实施水平。</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健全以校为本的教学研究制度。建立平等互助的教学研究共同体，倡导自我反思与同伴合作，营造民主、开放、共享的教学研究文化，开展深度教研探索，鼓励和支持教师创新教学方式，形成教学风格和特色。</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创新和完善课程教学管理制度。加强学校课程实施的过程管理，合理安排教学进度，严格控制周课时总量。探索建立行政班和教学班并存等多种教学组织形式。统筹教师调度、班级编排、学生管理、教学设施配套等资源和条件，为走班教学的实施提供保障。</w:t>
      </w:r>
    </w:p>
    <w:p>
      <w:pPr>
        <w:spacing w:line="500" w:lineRule="exact"/>
        <w:ind w:firstLine="600" w:firstLineChars="200"/>
        <w:rPr>
          <w:rFonts w:ascii="楷体_GB2312" w:hAnsi="楷体" w:eastAsia="楷体_GB2312"/>
          <w:bCs/>
          <w:sz w:val="30"/>
          <w:szCs w:val="30"/>
        </w:rPr>
      </w:pPr>
      <w:r>
        <w:rPr>
          <w:rFonts w:hint="eastAsia" w:ascii="楷体_GB2312" w:hAnsi="楷体" w:eastAsia="楷体_GB2312"/>
          <w:bCs/>
          <w:sz w:val="30"/>
          <w:szCs w:val="30"/>
        </w:rPr>
        <w:t>4.努力完善考试评价制度</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建立学分认定和管理制度。学校应依据有关规定制订学分认定的具体办法。学分认定应综合考虑学生实际修习的课时、学习过程与学习结果的表现，并达到课程标准或相关文件的要求。</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完善综合素质评价制度。学校应制订学生综合素质评价实施方案，建立学生综合素质档案，指导学生客观记录成长过程，记录集中反映综合素质主要内容的具体活动。课程修习情况、综合实践活动、劳动、跨学科学习等应作为综合素质档案的重要内容。教师要充分利用记录材料，对学生成长过程进行科学分析，加强对学生成长的指导。</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规范考试评价要求。校内评价或考试应以国家课程方案、课程标准和相关教学文件为依据，严格控制考试次数。考试命题应注重紧密联系社会实际与学生生活经验，强调综合运用知识分析解决实际问题能力的考查，要有利于促进学生核心素养的发展。</w:t>
      </w:r>
    </w:p>
    <w:p>
      <w:pPr>
        <w:spacing w:line="500" w:lineRule="exact"/>
        <w:ind w:firstLine="600" w:firstLineChars="200"/>
        <w:rPr>
          <w:rFonts w:ascii="楷体_GB2312" w:hAnsi="楷体" w:eastAsia="楷体_GB2312"/>
          <w:bCs/>
          <w:sz w:val="30"/>
          <w:szCs w:val="30"/>
        </w:rPr>
      </w:pPr>
      <w:r>
        <w:rPr>
          <w:rFonts w:hint="eastAsia" w:ascii="楷体_GB2312" w:hAnsi="楷体" w:eastAsia="楷体_GB2312"/>
          <w:bCs/>
          <w:sz w:val="30"/>
          <w:szCs w:val="30"/>
        </w:rPr>
        <w:t>5.充分开发与利用课程资源</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积极开发课程资源。统筹各方力量，创设课程实施条件和环境，开发课程实施所需的资源，为学生提供丰富、便利的实践体验机会。课程资源可以由学校独立开发，也可与其他学校、科研院所、企事业单位等联合开发，鼓励共建共享。</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充分利用校内外课程资源。学校要强化课程资源意识，全面挖掘、盘活、利用校内课程资源，加强校外各种教育基地的课程化建设，提高课程资源的有效性和利用率。</w:t>
      </w:r>
    </w:p>
    <w:p>
      <w:pPr>
        <w:spacing w:line="500" w:lineRule="exact"/>
        <w:ind w:firstLine="600" w:firstLineChars="200"/>
        <w:rPr>
          <w:rFonts w:ascii="黑体" w:hAnsi="黑体" w:eastAsia="黑体"/>
          <w:bCs/>
          <w:sz w:val="30"/>
          <w:szCs w:val="30"/>
        </w:rPr>
      </w:pPr>
      <w:r>
        <w:rPr>
          <w:rFonts w:hint="eastAsia" w:ascii="黑体" w:hAnsi="黑体" w:eastAsia="黑体"/>
          <w:bCs/>
          <w:sz w:val="30"/>
          <w:szCs w:val="30"/>
        </w:rPr>
        <w:t>四、条件保障</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普通高中课程实施是一个系统工程，各区、学校应根据本市普通高中建设标准、课程实施需要，因地制宜制定相应政策，提供有力条件保障。</w:t>
      </w:r>
    </w:p>
    <w:p>
      <w:pPr>
        <w:spacing w:line="500" w:lineRule="exact"/>
        <w:ind w:firstLine="600" w:firstLineChars="200"/>
        <w:rPr>
          <w:rFonts w:ascii="楷体_GB2312" w:hAnsi="楷体" w:eastAsia="楷体_GB2312"/>
          <w:bCs/>
          <w:sz w:val="30"/>
          <w:szCs w:val="30"/>
        </w:rPr>
      </w:pPr>
      <w:r>
        <w:rPr>
          <w:rFonts w:hint="eastAsia" w:ascii="楷体_GB2312" w:hAnsi="楷体" w:eastAsia="楷体_GB2312"/>
          <w:bCs/>
          <w:sz w:val="30"/>
          <w:szCs w:val="30"/>
        </w:rPr>
        <w:t>1.加强教研与教师队伍建设</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充分认识教研员的专业引领作用，加强区域教研系统的建设，提升教研队伍的质量，按教师数量配足教研员，为深化课程改革提供专业支持与引领的保障。</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根据课程实施需要，调整普通高中教师编制标准，配齐配足教师，特别要满足实行选课走班教学、指导学生发展等方面的师资需要，按学生数量配备专兼职学生导师。支持学校聘用具有专业特长的兼职教师。</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结合实际，完善教师工作量核定办法，改进教师奖惩机制，充分调动教师的积极性和创造性。加强教师培训与研修，探索教师专业发展新模式，建立和完善教师专业发展保障机制。</w:t>
      </w:r>
    </w:p>
    <w:p>
      <w:pPr>
        <w:spacing w:line="500" w:lineRule="exact"/>
        <w:ind w:firstLine="600" w:firstLineChars="200"/>
        <w:rPr>
          <w:rFonts w:ascii="楷体_GB2312" w:hAnsi="楷体" w:eastAsia="楷体_GB2312"/>
          <w:bCs/>
          <w:sz w:val="30"/>
          <w:szCs w:val="30"/>
        </w:rPr>
      </w:pPr>
      <w:r>
        <w:rPr>
          <w:rFonts w:hint="eastAsia" w:ascii="楷体_GB2312" w:hAnsi="楷体" w:eastAsia="楷体_GB2312"/>
          <w:bCs/>
          <w:sz w:val="30"/>
          <w:szCs w:val="30"/>
        </w:rPr>
        <w:t>2.加强教学设施与环境建设</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根据课程实施需要，配齐专用教室与场馆，保障物理、化学、生物学、信息技术和通用技术、艺术（或音乐、美术）、体育与健康、综合实践活动、劳动等课程的开设。创设良好的课程实施环境，提供足够的图书资料、设施设备及耗材。</w:t>
      </w:r>
    </w:p>
    <w:p>
      <w:pPr>
        <w:spacing w:line="500" w:lineRule="exact"/>
        <w:ind w:firstLine="600" w:firstLineChars="200"/>
        <w:rPr>
          <w:rFonts w:ascii="楷体_GB2312" w:hAnsi="楷体" w:eastAsia="楷体_GB2312"/>
          <w:bCs/>
          <w:sz w:val="30"/>
          <w:szCs w:val="30"/>
        </w:rPr>
      </w:pPr>
      <w:r>
        <w:rPr>
          <w:rFonts w:hint="eastAsia" w:ascii="楷体_GB2312" w:hAnsi="楷体" w:eastAsia="楷体_GB2312"/>
          <w:bCs/>
          <w:sz w:val="30"/>
          <w:szCs w:val="30"/>
        </w:rPr>
        <w:t>3.加强经费保障</w:t>
      </w:r>
    </w:p>
    <w:p>
      <w:pPr>
        <w:spacing w:line="50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根据课程实施需要，建立稳定的经费投入保障机制，满足课程开发、教学研究、设施设备配置、教学资料购置、资源建设、教师培训与研修以及开展综合实践活动等必要的经费需求。</w:t>
      </w:r>
    </w:p>
    <w:p>
      <w:pPr>
        <w:spacing w:line="500" w:lineRule="exact"/>
        <w:ind w:firstLine="600" w:firstLineChars="200"/>
        <w:rPr>
          <w:rFonts w:ascii="黑体" w:hAnsi="黑体" w:eastAsia="黑体"/>
          <w:bCs/>
          <w:sz w:val="30"/>
          <w:szCs w:val="30"/>
        </w:rPr>
      </w:pPr>
      <w:r>
        <w:rPr>
          <w:rFonts w:hint="eastAsia" w:ascii="黑体" w:hAnsi="黑体" w:eastAsia="黑体"/>
          <w:bCs/>
          <w:sz w:val="30"/>
          <w:szCs w:val="30"/>
        </w:rPr>
        <w:t>五、管理与监督</w:t>
      </w:r>
    </w:p>
    <w:p>
      <w:pPr>
        <w:spacing w:line="500" w:lineRule="exact"/>
        <w:ind w:firstLine="600" w:firstLineChars="200"/>
        <w:rPr>
          <w:rFonts w:ascii="仿宋_GB2312" w:hAnsi="楷体" w:eastAsia="仿宋_GB2312"/>
          <w:bCs/>
          <w:sz w:val="30"/>
          <w:szCs w:val="30"/>
        </w:rPr>
      </w:pPr>
      <w:r>
        <w:rPr>
          <w:rFonts w:hint="eastAsia" w:ascii="楷体_GB2312" w:hAnsi="楷体" w:eastAsia="楷体_GB2312"/>
          <w:bCs/>
          <w:sz w:val="30"/>
          <w:szCs w:val="30"/>
        </w:rPr>
        <w:t>1.切实加强对普通高中课程实施的领导和管理，健全课程规划与实施的评估与审议制度。</w:t>
      </w:r>
      <w:r>
        <w:rPr>
          <w:rFonts w:hint="eastAsia" w:ascii="仿宋_GB2312" w:hAnsi="楷体" w:eastAsia="仿宋_GB2312"/>
          <w:bCs/>
          <w:sz w:val="30"/>
          <w:szCs w:val="30"/>
        </w:rPr>
        <w:t>各区教育行政部门应组织专业力量，指导学校做好课程实施规划，并要求其上报备案，作为开展学校教育督导的重要依据。定期对学校课程实施规划的落实情况进行评估，逐步建立学校课程规划与实施的审议制度。各区教育行政部门应为学校提供必要条件和保障，协调好师资培训、人事编制、经费投入、设施设备配置等，做好舆论宣传，为课程实施创造良好环境。</w:t>
      </w:r>
    </w:p>
    <w:p>
      <w:pPr>
        <w:spacing w:line="500" w:lineRule="exact"/>
        <w:ind w:firstLine="600" w:firstLineChars="200"/>
        <w:rPr>
          <w:rFonts w:ascii="仿宋_GB2312" w:hAnsi="楷体" w:eastAsia="仿宋_GB2312"/>
          <w:bCs/>
          <w:sz w:val="30"/>
          <w:szCs w:val="30"/>
        </w:rPr>
      </w:pPr>
      <w:r>
        <w:rPr>
          <w:rFonts w:hint="eastAsia" w:ascii="楷体_GB2312" w:hAnsi="楷体" w:eastAsia="楷体_GB2312"/>
          <w:bCs/>
          <w:sz w:val="30"/>
          <w:szCs w:val="30"/>
        </w:rPr>
        <w:t>2.建立课程实施监测制度，健全课程建设和管理反馈改进机制。</w:t>
      </w:r>
      <w:r>
        <w:rPr>
          <w:rFonts w:hint="eastAsia" w:ascii="仿宋_GB2312" w:hAnsi="楷体" w:eastAsia="仿宋_GB2312"/>
          <w:bCs/>
          <w:sz w:val="30"/>
          <w:szCs w:val="30"/>
        </w:rPr>
        <w:t>执行课程实施国家监测方案，重点对国家课程方案执行情况、课程标准落实情况及审查通过的教材使用情况进行监测，并对各区监测工作进行指导和督查。市区两级教育部门建立相应的监测和反馈改进机制，并完成各级监测工作。</w:t>
      </w:r>
      <w:r>
        <w:rPr>
          <w:rFonts w:hint="eastAsia" w:ascii="仿宋_GB2312" w:hAnsi="楷体" w:eastAsia="仿宋_GB2312"/>
          <w:bCs/>
          <w:sz w:val="30"/>
          <w:szCs w:val="30"/>
        </w:rPr>
        <w:br w:type="page"/>
      </w:r>
    </w:p>
    <w:p>
      <w:pPr>
        <w:spacing w:line="520" w:lineRule="exact"/>
        <w:jc w:val="center"/>
        <w:rPr>
          <w:rFonts w:hint="eastAsia" w:ascii="方正小标宋简体" w:hAnsi="华文中宋" w:eastAsia="方正小标宋简体"/>
          <w:sz w:val="38"/>
          <w:szCs w:val="38"/>
        </w:rPr>
      </w:pPr>
      <w:r>
        <w:rPr>
          <w:rFonts w:hint="eastAsia" w:ascii="方正小标宋简体" w:hAnsi="华文中宋" w:eastAsia="方正小标宋简体"/>
          <w:sz w:val="38"/>
          <w:szCs w:val="38"/>
        </w:rPr>
        <w:t>上海市普通高中</w:t>
      </w:r>
      <w:r>
        <w:rPr>
          <w:rFonts w:hint="eastAsia" w:ascii="方正小标宋简体" w:hAnsi="宋体" w:eastAsia="方正小标宋简体"/>
          <w:sz w:val="38"/>
          <w:szCs w:val="38"/>
        </w:rPr>
        <w:t>课程</w:t>
      </w:r>
      <w:r>
        <w:rPr>
          <w:rFonts w:hint="eastAsia" w:ascii="方正小标宋简体" w:hAnsi="华文中宋" w:eastAsia="方正小标宋简体"/>
          <w:sz w:val="38"/>
          <w:szCs w:val="38"/>
        </w:rPr>
        <w:t>计划示例</w:t>
      </w:r>
    </w:p>
    <w:p>
      <w:pPr>
        <w:spacing w:line="520" w:lineRule="exact"/>
        <w:ind w:firstLine="560" w:firstLineChars="200"/>
        <w:rPr>
          <w:rFonts w:hint="eastAsia" w:ascii="仿宋_GB2312" w:hAnsi="华文仿宋" w:eastAsia="仿宋_GB2312"/>
          <w:bCs/>
          <w:sz w:val="28"/>
          <w:szCs w:val="28"/>
        </w:rPr>
      </w:pPr>
    </w:p>
    <w:p>
      <w:pPr>
        <w:spacing w:line="520" w:lineRule="exact"/>
        <w:ind w:firstLine="600" w:firstLineChars="200"/>
        <w:rPr>
          <w:rFonts w:hint="eastAsia" w:ascii="仿宋_GB2312" w:hAnsi="华文仿宋" w:eastAsia="仿宋_GB2312"/>
          <w:bCs/>
          <w:sz w:val="30"/>
          <w:szCs w:val="30"/>
        </w:rPr>
      </w:pPr>
      <w:r>
        <w:rPr>
          <w:rFonts w:hint="eastAsia" w:ascii="仿宋_GB2312" w:hAnsi="华文仿宋" w:eastAsia="仿宋_GB2312"/>
          <w:bCs/>
          <w:sz w:val="30"/>
          <w:szCs w:val="30"/>
        </w:rPr>
        <w:t>为贯彻</w:t>
      </w:r>
      <w:r>
        <w:rPr>
          <w:rFonts w:ascii="仿宋_GB2312" w:hAnsi="华文仿宋" w:eastAsia="仿宋_GB2312"/>
          <w:bCs/>
          <w:sz w:val="30"/>
          <w:szCs w:val="30"/>
        </w:rPr>
        <w:t>落实</w:t>
      </w:r>
      <w:r>
        <w:rPr>
          <w:rFonts w:hint="eastAsia" w:ascii="仿宋_GB2312" w:hAnsi="华文仿宋" w:eastAsia="仿宋_GB2312"/>
          <w:bCs/>
          <w:sz w:val="30"/>
          <w:szCs w:val="30"/>
        </w:rPr>
        <w:t>教育部《普</w:t>
      </w:r>
      <w:r>
        <w:rPr>
          <w:rFonts w:ascii="仿宋_GB2312" w:hAnsi="华文仿宋" w:eastAsia="仿宋_GB2312"/>
          <w:bCs/>
          <w:sz w:val="30"/>
          <w:szCs w:val="30"/>
        </w:rPr>
        <w:t>通高中课程方案</w:t>
      </w:r>
      <w:r>
        <w:rPr>
          <w:rFonts w:hint="eastAsia" w:ascii="仿宋_GB2312" w:hAnsi="华文仿宋" w:eastAsia="仿宋_GB2312"/>
          <w:bCs/>
          <w:sz w:val="30"/>
          <w:szCs w:val="30"/>
        </w:rPr>
        <w:t>》（</w:t>
      </w:r>
      <w:r>
        <w:rPr>
          <w:rFonts w:ascii="仿宋_GB2312" w:hAnsi="华文仿宋" w:eastAsia="仿宋_GB2312"/>
          <w:bCs/>
          <w:sz w:val="30"/>
          <w:szCs w:val="30"/>
        </w:rPr>
        <w:t>2017年</w:t>
      </w:r>
      <w:r>
        <w:rPr>
          <w:rFonts w:hint="eastAsia" w:ascii="仿宋_GB2312" w:hAnsi="华文仿宋" w:eastAsia="仿宋_GB2312"/>
          <w:bCs/>
          <w:sz w:val="30"/>
          <w:szCs w:val="30"/>
        </w:rPr>
        <w:t>版</w:t>
      </w:r>
      <w:r>
        <w:rPr>
          <w:rFonts w:ascii="仿宋_GB2312" w:hAnsi="华文仿宋" w:eastAsia="仿宋_GB2312"/>
          <w:bCs/>
          <w:sz w:val="30"/>
          <w:szCs w:val="30"/>
        </w:rPr>
        <w:t>2020</w:t>
      </w:r>
      <w:r>
        <w:rPr>
          <w:rFonts w:hint="eastAsia" w:ascii="仿宋_GB2312" w:hAnsi="华文仿宋" w:eastAsia="仿宋_GB2312"/>
          <w:bCs/>
          <w:sz w:val="30"/>
          <w:szCs w:val="30"/>
        </w:rPr>
        <w:t>年修订</w:t>
      </w:r>
      <w:r>
        <w:rPr>
          <w:rFonts w:ascii="仿宋_GB2312" w:hAnsi="华文仿宋" w:eastAsia="仿宋_GB2312"/>
          <w:bCs/>
          <w:sz w:val="30"/>
          <w:szCs w:val="30"/>
        </w:rPr>
        <w:t>）</w:t>
      </w:r>
      <w:r>
        <w:rPr>
          <w:rFonts w:hint="eastAsia" w:ascii="仿宋_GB2312" w:hAnsi="华文仿宋" w:eastAsia="仿宋_GB2312"/>
          <w:bCs/>
          <w:sz w:val="30"/>
          <w:szCs w:val="30"/>
        </w:rPr>
        <w:t>有关要求</w:t>
      </w:r>
      <w:r>
        <w:rPr>
          <w:rFonts w:ascii="仿宋_GB2312" w:hAnsi="华文仿宋" w:eastAsia="仿宋_GB2312"/>
          <w:bCs/>
          <w:sz w:val="30"/>
          <w:szCs w:val="30"/>
        </w:rPr>
        <w:t>，</w:t>
      </w:r>
      <w:r>
        <w:rPr>
          <w:rFonts w:hint="eastAsia" w:ascii="仿宋_GB2312" w:hAnsi="华文仿宋" w:eastAsia="仿宋_GB2312"/>
          <w:bCs/>
          <w:sz w:val="30"/>
          <w:szCs w:val="30"/>
        </w:rPr>
        <w:t>与《上海市普通高中课程实施方案》相配套</w:t>
      </w:r>
      <w:r>
        <w:rPr>
          <w:rFonts w:ascii="仿宋_GB2312" w:hAnsi="华文仿宋" w:eastAsia="仿宋_GB2312"/>
          <w:bCs/>
          <w:sz w:val="30"/>
          <w:szCs w:val="30"/>
        </w:rPr>
        <w:t>，</w:t>
      </w:r>
      <w:r>
        <w:rPr>
          <w:rFonts w:hint="eastAsia" w:ascii="仿宋_GB2312" w:hAnsi="华文仿宋" w:eastAsia="仿宋_GB2312"/>
          <w:bCs/>
          <w:sz w:val="30"/>
          <w:szCs w:val="30"/>
        </w:rPr>
        <w:t>结合本市普通高中教育教学、考试评价等实际情况，</w:t>
      </w:r>
      <w:r>
        <w:rPr>
          <w:rFonts w:ascii="仿宋_GB2312" w:hAnsi="华文仿宋" w:eastAsia="仿宋_GB2312"/>
          <w:bCs/>
          <w:sz w:val="30"/>
          <w:szCs w:val="30"/>
        </w:rPr>
        <w:t>特</w:t>
      </w:r>
      <w:r>
        <w:rPr>
          <w:rFonts w:hint="eastAsia" w:ascii="仿宋_GB2312" w:hAnsi="华文仿宋" w:eastAsia="仿宋_GB2312"/>
          <w:bCs/>
          <w:sz w:val="30"/>
          <w:szCs w:val="30"/>
        </w:rPr>
        <w:t>研制本示例供学校编制课程实施规划时参考</w:t>
      </w:r>
      <w:r>
        <w:rPr>
          <w:rFonts w:ascii="仿宋_GB2312" w:hAnsi="华文仿宋" w:eastAsia="仿宋_GB2312"/>
          <w:bCs/>
          <w:sz w:val="30"/>
          <w:szCs w:val="30"/>
        </w:rPr>
        <w:t>。</w:t>
      </w:r>
    </w:p>
    <w:p>
      <w:pPr>
        <w:spacing w:line="520" w:lineRule="exact"/>
        <w:jc w:val="center"/>
        <w:rPr>
          <w:rFonts w:hint="eastAsia" w:ascii="仿宋_GB2312" w:hAnsi="华文仿宋" w:eastAsia="仿宋_GB2312"/>
          <w:b/>
          <w:sz w:val="30"/>
          <w:szCs w:val="30"/>
        </w:rPr>
      </w:pPr>
      <w:r>
        <w:rPr>
          <w:rFonts w:hint="eastAsia" w:ascii="仿宋_GB2312" w:hAnsi="华文仿宋" w:eastAsia="仿宋_GB2312"/>
          <w:b/>
          <w:sz w:val="30"/>
          <w:szCs w:val="30"/>
        </w:rPr>
        <w:t>上海市普通高中课程计划示例</w:t>
      </w:r>
    </w:p>
    <w:tbl>
      <w:tblPr>
        <w:tblStyle w:val="4"/>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9"/>
        <w:gridCol w:w="1309"/>
        <w:gridCol w:w="709"/>
        <w:gridCol w:w="850"/>
        <w:gridCol w:w="851"/>
        <w:gridCol w:w="850"/>
        <w:gridCol w:w="855"/>
        <w:gridCol w:w="846"/>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blHeader/>
          <w:jc w:val="center"/>
        </w:trPr>
        <w:tc>
          <w:tcPr>
            <w:tcW w:w="2078" w:type="dxa"/>
            <w:gridSpan w:val="3"/>
            <w:tcBorders>
              <w:bottom w:val="single" w:color="auto" w:sz="4" w:space="0"/>
            </w:tcBorders>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
                <w:szCs w:val="21"/>
              </w:rPr>
              <w:pict>
                <v:shape id="AutoShape 2" o:spid="_x0000_s1026" o:spt="32" type="#_x0000_t32" style="position:absolute;left:0pt;flip:x y;margin-left:35.35pt;margin-top:0.5pt;height:77.25pt;width:46.1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">
                  <v:path arrowok="t"/>
                  <v:fill on="f" focussize="0,0"/>
                  <v:stroke/>
                  <v:imagedata o:title=""/>
                  <o:lock v:ext="edit"/>
                </v:shape>
              </w:pict>
            </w:r>
            <w:r>
              <w:rPr>
                <w:rFonts w:hint="eastAsia" w:ascii="仿宋_GB2312" w:hAnsi="华文仿宋" w:eastAsia="仿宋_GB2312"/>
                <w:bCs/>
                <w:szCs w:val="21"/>
              </w:rPr>
              <w:t xml:space="preserve">        年级</w:t>
            </w:r>
          </w:p>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学分</w:t>
            </w:r>
            <w:r>
              <w:rPr>
                <w:rFonts w:hint="eastAsia" w:ascii="仿宋_GB2312" w:hAnsi="华文仿宋" w:eastAsia="仿宋_GB2312"/>
                <w:b/>
                <w:szCs w:val="21"/>
              </w:rPr>
              <w:pict>
                <v:shape id="AutoShape 3" o:spid="_x0000_s1027" o:spt="32" type="#_x0000_t32" style="position:absolute;left:0pt;flip:x y;margin-left:-5.25pt;margin-top:7.8pt;height:44pt;width:86.9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">
                  <v:path arrowok="t"/>
                  <v:fill on="f" focussize="0,0"/>
                  <v:stroke/>
                  <v:imagedata o:title=""/>
                  <o:lock v:ext="edit"/>
                </v:shape>
              </w:pict>
            </w:r>
          </w:p>
          <w:p>
            <w:pPr>
              <w:spacing w:line="520" w:lineRule="exact"/>
              <w:jc w:val="left"/>
              <w:textAlignment w:val="center"/>
              <w:rPr>
                <w:rFonts w:hint="eastAsia" w:ascii="仿宋_GB2312" w:hAnsi="华文仿宋" w:eastAsia="仿宋_GB2312"/>
                <w:bCs/>
                <w:szCs w:val="21"/>
              </w:rPr>
            </w:pPr>
            <w:r>
              <w:rPr>
                <w:rFonts w:hint="eastAsia" w:ascii="仿宋_GB2312" w:hAnsi="华文仿宋" w:eastAsia="仿宋_GB2312"/>
                <w:bCs/>
                <w:szCs w:val="21"/>
              </w:rPr>
              <w:t>科目</w:t>
            </w:r>
          </w:p>
        </w:tc>
        <w:tc>
          <w:tcPr>
            <w:tcW w:w="1559" w:type="dxa"/>
            <w:gridSpan w:val="2"/>
            <w:tcBorders>
              <w:bottom w:val="single" w:color="auto" w:sz="4" w:space="0"/>
            </w:tcBorders>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高一</w:t>
            </w:r>
          </w:p>
        </w:tc>
        <w:tc>
          <w:tcPr>
            <w:tcW w:w="1701" w:type="dxa"/>
            <w:gridSpan w:val="2"/>
            <w:tcBorders>
              <w:bottom w:val="single" w:color="auto" w:sz="4" w:space="0"/>
            </w:tcBorders>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高二</w:t>
            </w:r>
          </w:p>
        </w:tc>
        <w:tc>
          <w:tcPr>
            <w:tcW w:w="1701" w:type="dxa"/>
            <w:gridSpan w:val="2"/>
            <w:tcBorders>
              <w:bottom w:val="single" w:color="auto" w:sz="4" w:space="0"/>
            </w:tcBorders>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高三</w:t>
            </w:r>
          </w:p>
        </w:tc>
        <w:tc>
          <w:tcPr>
            <w:tcW w:w="2153" w:type="dxa"/>
            <w:tcBorders>
              <w:bottom w:val="single" w:color="auto" w:sz="4" w:space="0"/>
            </w:tcBorders>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78" w:type="dxa"/>
            <w:gridSpan w:val="3"/>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语文</w:t>
            </w:r>
          </w:p>
        </w:tc>
        <w:tc>
          <w:tcPr>
            <w:tcW w:w="709"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4</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4</w:t>
            </w:r>
          </w:p>
        </w:tc>
        <w:tc>
          <w:tcPr>
            <w:tcW w:w="851"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55"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46"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w:t>
            </w:r>
          </w:p>
        </w:tc>
        <w:tc>
          <w:tcPr>
            <w:tcW w:w="2153" w:type="dxa"/>
            <w:vMerge w:val="restart"/>
            <w:shd w:val="clear" w:color="auto" w:fill="FFFFFF"/>
            <w:vAlign w:val="center"/>
          </w:tcPr>
          <w:p>
            <w:pPr>
              <w:spacing w:line="400" w:lineRule="exact"/>
              <w:textAlignment w:val="center"/>
              <w:rPr>
                <w:rFonts w:hint="eastAsia" w:ascii="仿宋_GB2312" w:hAnsi="华文仿宋" w:eastAsia="仿宋_GB2312"/>
                <w:bCs/>
                <w:szCs w:val="21"/>
              </w:rPr>
            </w:pPr>
            <w:r>
              <w:rPr>
                <w:rFonts w:hint="eastAsia" w:ascii="仿宋_GB2312" w:hAnsi="华文仿宋" w:eastAsia="仿宋_GB2312"/>
                <w:bCs/>
                <w:szCs w:val="21"/>
              </w:rPr>
              <w:t>（</w:t>
            </w:r>
            <w:r>
              <w:rPr>
                <w:rFonts w:ascii="仿宋_GB2312" w:hAnsi="华文仿宋" w:eastAsia="仿宋_GB2312"/>
                <w:bCs/>
                <w:szCs w:val="21"/>
              </w:rPr>
              <w:t>1）此处所列的是各学科国家</w:t>
            </w:r>
            <w:r>
              <w:rPr>
                <w:rFonts w:hint="eastAsia" w:ascii="仿宋_GB2312" w:hAnsi="华文仿宋" w:eastAsia="仿宋_GB2312"/>
                <w:bCs/>
                <w:szCs w:val="21"/>
              </w:rPr>
              <w:t>课程学分，主要包括各学科必修课程和选择性必修课程学分。</w:t>
            </w:r>
          </w:p>
          <w:p>
            <w:pPr>
              <w:spacing w:line="400" w:lineRule="exact"/>
              <w:textAlignment w:val="center"/>
              <w:rPr>
                <w:rFonts w:hint="eastAsia" w:ascii="仿宋_GB2312" w:hAnsi="华文仿宋" w:eastAsia="仿宋_GB2312"/>
                <w:bCs/>
                <w:szCs w:val="21"/>
              </w:rPr>
            </w:pPr>
            <w:r>
              <w:rPr>
                <w:rFonts w:hint="eastAsia" w:ascii="仿宋_GB2312" w:hAnsi="华文仿宋" w:eastAsia="仿宋_GB2312"/>
                <w:bCs/>
                <w:szCs w:val="21"/>
              </w:rPr>
              <w:t>（</w:t>
            </w:r>
            <w:r>
              <w:rPr>
                <w:rFonts w:ascii="仿宋_GB2312" w:hAnsi="华文仿宋" w:eastAsia="仿宋_GB2312"/>
                <w:bCs/>
                <w:szCs w:val="21"/>
              </w:rPr>
              <w:t>2）在保证</w:t>
            </w:r>
            <w:r>
              <w:rPr>
                <w:rFonts w:hint="eastAsia" w:ascii="仿宋_GB2312" w:hAnsi="华文仿宋" w:eastAsia="仿宋_GB2312"/>
                <w:bCs/>
                <w:szCs w:val="21"/>
              </w:rPr>
              <w:t>地理、</w:t>
            </w:r>
            <w:r>
              <w:rPr>
                <w:rFonts w:ascii="仿宋_GB2312" w:hAnsi="华文仿宋" w:eastAsia="仿宋_GB2312"/>
                <w:bCs/>
                <w:szCs w:val="21"/>
              </w:rPr>
              <w:t>生物学必修课程课时数</w:t>
            </w:r>
            <w:r>
              <w:rPr>
                <w:rFonts w:hint="eastAsia" w:ascii="仿宋_GB2312" w:hAnsi="华文仿宋" w:eastAsia="仿宋_GB2312"/>
                <w:bCs/>
                <w:szCs w:val="21"/>
              </w:rPr>
              <w:t>均</w:t>
            </w:r>
            <w:r>
              <w:rPr>
                <w:rFonts w:ascii="仿宋_GB2312" w:hAnsi="华文仿宋" w:eastAsia="仿宋_GB2312"/>
                <w:bCs/>
                <w:szCs w:val="21"/>
              </w:rPr>
              <w:t>为72</w:t>
            </w:r>
            <w:r>
              <w:rPr>
                <w:rFonts w:hint="eastAsia" w:ascii="仿宋_GB2312" w:hAnsi="华文仿宋" w:eastAsia="仿宋_GB2312"/>
                <w:bCs/>
                <w:szCs w:val="21"/>
              </w:rPr>
              <w:t>课时，选择性必修课程课时数均为</w:t>
            </w:r>
            <w:r>
              <w:rPr>
                <w:rFonts w:ascii="仿宋_GB2312" w:hAnsi="华文仿宋" w:eastAsia="仿宋_GB2312"/>
                <w:bCs/>
                <w:szCs w:val="21"/>
              </w:rPr>
              <w:t>108</w:t>
            </w:r>
            <w:r>
              <w:rPr>
                <w:rFonts w:hint="eastAsia" w:ascii="仿宋_GB2312" w:hAnsi="华文仿宋" w:eastAsia="仿宋_GB2312"/>
                <w:bCs/>
                <w:szCs w:val="21"/>
              </w:rPr>
              <w:t>课时的前提下，学校要根据本市普通高中学业水平考试规定，合理安排课程。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78" w:type="dxa"/>
            <w:gridSpan w:val="3"/>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数学</w:t>
            </w:r>
          </w:p>
        </w:tc>
        <w:tc>
          <w:tcPr>
            <w:tcW w:w="709"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3</w:t>
            </w:r>
          </w:p>
        </w:tc>
        <w:tc>
          <w:tcPr>
            <w:tcW w:w="851"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3</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3</w:t>
            </w:r>
          </w:p>
        </w:tc>
        <w:tc>
          <w:tcPr>
            <w:tcW w:w="855"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3</w:t>
            </w:r>
          </w:p>
        </w:tc>
        <w:tc>
          <w:tcPr>
            <w:tcW w:w="846"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w:t>
            </w:r>
          </w:p>
        </w:tc>
        <w:tc>
          <w:tcPr>
            <w:tcW w:w="2153" w:type="dxa"/>
            <w:vMerge w:val="continue"/>
            <w:shd w:val="clear" w:color="auto" w:fill="FFFFFF"/>
            <w:vAlign w:val="center"/>
          </w:tcPr>
          <w:p>
            <w:pPr>
              <w:spacing w:line="400" w:lineRule="exact"/>
              <w:jc w:val="left"/>
              <w:textAlignment w:val="center"/>
              <w:rPr>
                <w:rFonts w:hint="eastAsia" w:ascii="仿宋_GB2312" w:hAnsi="华文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78" w:type="dxa"/>
            <w:gridSpan w:val="3"/>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英语</w:t>
            </w:r>
          </w:p>
        </w:tc>
        <w:tc>
          <w:tcPr>
            <w:tcW w:w="709"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3</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3</w:t>
            </w:r>
          </w:p>
        </w:tc>
        <w:tc>
          <w:tcPr>
            <w:tcW w:w="851"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3</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3</w:t>
            </w:r>
          </w:p>
        </w:tc>
        <w:tc>
          <w:tcPr>
            <w:tcW w:w="855"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46"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w:t>
            </w:r>
          </w:p>
        </w:tc>
        <w:tc>
          <w:tcPr>
            <w:tcW w:w="2153" w:type="dxa"/>
            <w:vMerge w:val="continue"/>
            <w:shd w:val="clear" w:color="auto" w:fill="FFFFFF"/>
            <w:vAlign w:val="center"/>
          </w:tcPr>
          <w:p>
            <w:pPr>
              <w:spacing w:line="400" w:lineRule="exact"/>
              <w:jc w:val="left"/>
              <w:textAlignment w:val="center"/>
              <w:rPr>
                <w:rFonts w:hint="eastAsia" w:ascii="仿宋_GB2312" w:hAnsi="华文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78" w:type="dxa"/>
            <w:gridSpan w:val="3"/>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思想政治</w:t>
            </w:r>
          </w:p>
        </w:tc>
        <w:tc>
          <w:tcPr>
            <w:tcW w:w="709"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51"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55"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4</w:t>
            </w:r>
          </w:p>
        </w:tc>
        <w:tc>
          <w:tcPr>
            <w:tcW w:w="846"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w:t>
            </w:r>
          </w:p>
        </w:tc>
        <w:tc>
          <w:tcPr>
            <w:tcW w:w="2153" w:type="dxa"/>
            <w:vMerge w:val="continue"/>
            <w:shd w:val="clear" w:color="auto" w:fill="FFFFFF"/>
            <w:vAlign w:val="center"/>
          </w:tcPr>
          <w:p>
            <w:pPr>
              <w:spacing w:line="400" w:lineRule="exact"/>
              <w:jc w:val="left"/>
              <w:textAlignment w:val="center"/>
              <w:rPr>
                <w:rFonts w:hint="eastAsia" w:ascii="仿宋_GB2312" w:hAnsi="华文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gridSpan w:val="3"/>
            <w:tcBorders>
              <w:bottom w:val="single" w:color="auto" w:sz="4" w:space="0"/>
            </w:tcBorders>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物理</w:t>
            </w:r>
          </w:p>
        </w:tc>
        <w:tc>
          <w:tcPr>
            <w:tcW w:w="709" w:type="dxa"/>
            <w:tcBorders>
              <w:bottom w:val="single" w:color="auto" w:sz="4" w:space="0"/>
            </w:tcBorders>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50" w:type="dxa"/>
            <w:tcBorders>
              <w:bottom w:val="single" w:color="auto" w:sz="4" w:space="0"/>
            </w:tcBorders>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51" w:type="dxa"/>
            <w:tcBorders>
              <w:bottom w:val="single" w:color="auto" w:sz="4" w:space="0"/>
            </w:tcBorders>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50" w:type="dxa"/>
            <w:tcBorders>
              <w:bottom w:val="single" w:color="auto" w:sz="4" w:space="0"/>
            </w:tcBorders>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55" w:type="dxa"/>
            <w:tcBorders>
              <w:bottom w:val="single" w:color="auto" w:sz="4" w:space="0"/>
            </w:tcBorders>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4</w:t>
            </w:r>
          </w:p>
        </w:tc>
        <w:tc>
          <w:tcPr>
            <w:tcW w:w="846" w:type="dxa"/>
            <w:tcBorders>
              <w:bottom w:val="single" w:color="auto" w:sz="4" w:space="0"/>
            </w:tcBorders>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w:t>
            </w:r>
          </w:p>
        </w:tc>
        <w:tc>
          <w:tcPr>
            <w:tcW w:w="2153" w:type="dxa"/>
            <w:vMerge w:val="continue"/>
            <w:shd w:val="clear" w:color="auto" w:fill="FFFFFF"/>
            <w:vAlign w:val="center"/>
          </w:tcPr>
          <w:p>
            <w:pPr>
              <w:spacing w:line="400" w:lineRule="exact"/>
              <w:jc w:val="left"/>
              <w:textAlignment w:val="center"/>
              <w:rPr>
                <w:rFonts w:hint="eastAsia" w:ascii="仿宋_GB2312" w:hAnsi="华文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gridSpan w:val="3"/>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化学</w:t>
            </w:r>
          </w:p>
        </w:tc>
        <w:tc>
          <w:tcPr>
            <w:tcW w:w="709"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1</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51"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1</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3</w:t>
            </w:r>
          </w:p>
        </w:tc>
        <w:tc>
          <w:tcPr>
            <w:tcW w:w="855"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3</w:t>
            </w:r>
          </w:p>
        </w:tc>
        <w:tc>
          <w:tcPr>
            <w:tcW w:w="846"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w:t>
            </w:r>
          </w:p>
        </w:tc>
        <w:tc>
          <w:tcPr>
            <w:tcW w:w="2153" w:type="dxa"/>
            <w:vMerge w:val="continue"/>
            <w:shd w:val="clear" w:color="auto" w:fill="FFFFFF"/>
            <w:vAlign w:val="center"/>
          </w:tcPr>
          <w:p>
            <w:pPr>
              <w:spacing w:line="400" w:lineRule="exact"/>
              <w:jc w:val="left"/>
              <w:textAlignment w:val="center"/>
              <w:rPr>
                <w:rFonts w:hint="eastAsia" w:ascii="仿宋_GB2312" w:hAnsi="华文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gridSpan w:val="3"/>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历史</w:t>
            </w:r>
          </w:p>
        </w:tc>
        <w:tc>
          <w:tcPr>
            <w:tcW w:w="709"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1</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1</w:t>
            </w:r>
          </w:p>
        </w:tc>
        <w:tc>
          <w:tcPr>
            <w:tcW w:w="851"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4</w:t>
            </w:r>
          </w:p>
        </w:tc>
        <w:tc>
          <w:tcPr>
            <w:tcW w:w="855"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46"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w:t>
            </w:r>
          </w:p>
        </w:tc>
        <w:tc>
          <w:tcPr>
            <w:tcW w:w="2153" w:type="dxa"/>
            <w:vMerge w:val="continue"/>
            <w:shd w:val="clear" w:color="auto" w:fill="FFFFFF"/>
            <w:vAlign w:val="center"/>
          </w:tcPr>
          <w:p>
            <w:pPr>
              <w:spacing w:line="400" w:lineRule="exact"/>
              <w:jc w:val="left"/>
              <w:textAlignment w:val="center"/>
              <w:rPr>
                <w:rFonts w:hint="eastAsia" w:ascii="仿宋_GB2312" w:hAnsi="华文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78" w:type="dxa"/>
            <w:gridSpan w:val="3"/>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地理</w:t>
            </w:r>
          </w:p>
        </w:tc>
        <w:tc>
          <w:tcPr>
            <w:tcW w:w="4961" w:type="dxa"/>
            <w:gridSpan w:val="6"/>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4+6</w:t>
            </w:r>
          </w:p>
        </w:tc>
        <w:tc>
          <w:tcPr>
            <w:tcW w:w="2153" w:type="dxa"/>
            <w:vMerge w:val="continue"/>
            <w:shd w:val="clear" w:color="auto" w:fill="FFFFFF"/>
            <w:vAlign w:val="center"/>
          </w:tcPr>
          <w:p>
            <w:pPr>
              <w:spacing w:line="400" w:lineRule="exact"/>
              <w:jc w:val="left"/>
              <w:textAlignment w:val="center"/>
              <w:rPr>
                <w:rFonts w:hint="eastAsia" w:ascii="仿宋_GB2312" w:hAnsi="华文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078" w:type="dxa"/>
            <w:gridSpan w:val="3"/>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生物学</w:t>
            </w:r>
          </w:p>
        </w:tc>
        <w:tc>
          <w:tcPr>
            <w:tcW w:w="4961" w:type="dxa"/>
            <w:gridSpan w:val="6"/>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4+6</w:t>
            </w:r>
          </w:p>
        </w:tc>
        <w:tc>
          <w:tcPr>
            <w:tcW w:w="2153" w:type="dxa"/>
            <w:vMerge w:val="continue"/>
            <w:shd w:val="clear" w:color="auto" w:fill="FFFFFF"/>
            <w:vAlign w:val="center"/>
          </w:tcPr>
          <w:p>
            <w:pPr>
              <w:spacing w:line="400" w:lineRule="exact"/>
              <w:jc w:val="left"/>
              <w:textAlignment w:val="center"/>
              <w:rPr>
                <w:rFonts w:hint="eastAsia" w:ascii="仿宋_GB2312" w:hAnsi="华文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0" w:type="dxa"/>
            <w:vMerge w:val="restart"/>
            <w:shd w:val="clear" w:color="auto" w:fill="FFFFFF"/>
            <w:vAlign w:val="center"/>
          </w:tcPr>
          <w:p>
            <w:pPr>
              <w:spacing w:line="520" w:lineRule="exact"/>
              <w:textAlignment w:val="center"/>
              <w:rPr>
                <w:rFonts w:hint="eastAsia" w:ascii="仿宋_GB2312" w:hAnsi="华文仿宋" w:eastAsia="仿宋_GB2312"/>
                <w:bCs/>
                <w:szCs w:val="21"/>
              </w:rPr>
            </w:pPr>
            <w:r>
              <w:rPr>
                <w:rFonts w:hint="eastAsia" w:ascii="仿宋_GB2312" w:hAnsi="华文仿宋" w:eastAsia="仿宋_GB2312"/>
                <w:bCs/>
                <w:szCs w:val="21"/>
              </w:rPr>
              <w:t>技术</w:t>
            </w:r>
          </w:p>
        </w:tc>
        <w:tc>
          <w:tcPr>
            <w:tcW w:w="1348" w:type="dxa"/>
            <w:gridSpan w:val="2"/>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信息技术</w:t>
            </w:r>
          </w:p>
        </w:tc>
        <w:tc>
          <w:tcPr>
            <w:tcW w:w="709"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2</w:t>
            </w:r>
          </w:p>
        </w:tc>
        <w:tc>
          <w:tcPr>
            <w:tcW w:w="851"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1</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1</w:t>
            </w:r>
          </w:p>
        </w:tc>
        <w:tc>
          <w:tcPr>
            <w:tcW w:w="855"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w:t>
            </w:r>
          </w:p>
        </w:tc>
        <w:tc>
          <w:tcPr>
            <w:tcW w:w="846"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w:t>
            </w:r>
          </w:p>
        </w:tc>
        <w:tc>
          <w:tcPr>
            <w:tcW w:w="2153" w:type="dxa"/>
            <w:vMerge w:val="continue"/>
            <w:shd w:val="clear" w:color="auto" w:fill="FFFFFF"/>
            <w:vAlign w:val="center"/>
          </w:tcPr>
          <w:p>
            <w:pPr>
              <w:spacing w:line="400" w:lineRule="exact"/>
              <w:jc w:val="left"/>
              <w:textAlignment w:val="center"/>
              <w:rPr>
                <w:rFonts w:hint="eastAsia" w:ascii="仿宋_GB2312" w:hAnsi="华文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shd w:val="clear" w:color="auto" w:fill="FFFFFF"/>
            <w:vAlign w:val="center"/>
          </w:tcPr>
          <w:p>
            <w:pPr>
              <w:spacing w:line="520" w:lineRule="exact"/>
              <w:jc w:val="center"/>
              <w:textAlignment w:val="center"/>
              <w:rPr>
                <w:rFonts w:hint="eastAsia" w:ascii="仿宋_GB2312" w:hAnsi="华文仿宋" w:eastAsia="仿宋_GB2312"/>
                <w:bCs/>
                <w:szCs w:val="21"/>
              </w:rPr>
            </w:pPr>
          </w:p>
        </w:tc>
        <w:tc>
          <w:tcPr>
            <w:tcW w:w="1348" w:type="dxa"/>
            <w:gridSpan w:val="2"/>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通用技术</w:t>
            </w:r>
          </w:p>
        </w:tc>
        <w:tc>
          <w:tcPr>
            <w:tcW w:w="709"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1.5</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1.5</w:t>
            </w:r>
          </w:p>
        </w:tc>
        <w:tc>
          <w:tcPr>
            <w:tcW w:w="851"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1</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1</w:t>
            </w:r>
          </w:p>
        </w:tc>
        <w:tc>
          <w:tcPr>
            <w:tcW w:w="855"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w:t>
            </w:r>
          </w:p>
        </w:tc>
        <w:tc>
          <w:tcPr>
            <w:tcW w:w="846"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w:t>
            </w:r>
          </w:p>
        </w:tc>
        <w:tc>
          <w:tcPr>
            <w:tcW w:w="2153" w:type="dxa"/>
            <w:vMerge w:val="continue"/>
            <w:shd w:val="clear" w:color="auto" w:fill="FFFFFF"/>
            <w:vAlign w:val="center"/>
          </w:tcPr>
          <w:p>
            <w:pPr>
              <w:spacing w:line="400" w:lineRule="exact"/>
              <w:jc w:val="left"/>
              <w:textAlignment w:val="center"/>
              <w:rPr>
                <w:rFonts w:hint="eastAsia" w:ascii="仿宋_GB2312" w:hAnsi="华文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gridSpan w:val="3"/>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体育与健康</w:t>
            </w:r>
          </w:p>
        </w:tc>
        <w:tc>
          <w:tcPr>
            <w:tcW w:w="709"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3</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3</w:t>
            </w:r>
          </w:p>
        </w:tc>
        <w:tc>
          <w:tcPr>
            <w:tcW w:w="851"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3</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3</w:t>
            </w:r>
          </w:p>
        </w:tc>
        <w:tc>
          <w:tcPr>
            <w:tcW w:w="855"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3</w:t>
            </w:r>
          </w:p>
        </w:tc>
        <w:tc>
          <w:tcPr>
            <w:tcW w:w="846"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3</w:t>
            </w:r>
          </w:p>
        </w:tc>
        <w:tc>
          <w:tcPr>
            <w:tcW w:w="2153" w:type="dxa"/>
            <w:vMerge w:val="continue"/>
            <w:shd w:val="clear" w:color="auto" w:fill="FFFFFF"/>
            <w:vAlign w:val="center"/>
          </w:tcPr>
          <w:p>
            <w:pPr>
              <w:spacing w:line="400" w:lineRule="exact"/>
              <w:jc w:val="left"/>
              <w:textAlignment w:val="center"/>
              <w:rPr>
                <w:rFonts w:hint="eastAsia" w:ascii="仿宋_GB2312" w:hAnsi="华文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gridSpan w:val="3"/>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艺术</w:t>
            </w:r>
          </w:p>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（或音乐、美术）</w:t>
            </w:r>
          </w:p>
        </w:tc>
        <w:tc>
          <w:tcPr>
            <w:tcW w:w="709"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1</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1</w:t>
            </w:r>
          </w:p>
        </w:tc>
        <w:tc>
          <w:tcPr>
            <w:tcW w:w="851"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1</w:t>
            </w:r>
          </w:p>
        </w:tc>
        <w:tc>
          <w:tcPr>
            <w:tcW w:w="850"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1</w:t>
            </w:r>
          </w:p>
        </w:tc>
        <w:tc>
          <w:tcPr>
            <w:tcW w:w="855"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1</w:t>
            </w:r>
          </w:p>
        </w:tc>
        <w:tc>
          <w:tcPr>
            <w:tcW w:w="846"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1</w:t>
            </w:r>
          </w:p>
        </w:tc>
        <w:tc>
          <w:tcPr>
            <w:tcW w:w="2153" w:type="dxa"/>
            <w:vMerge w:val="continue"/>
            <w:shd w:val="clear" w:color="auto" w:fill="FFFFFF"/>
            <w:vAlign w:val="center"/>
          </w:tcPr>
          <w:p>
            <w:pPr>
              <w:spacing w:line="400" w:lineRule="exact"/>
              <w:jc w:val="left"/>
              <w:textAlignment w:val="center"/>
              <w:rPr>
                <w:rFonts w:hint="eastAsia" w:ascii="仿宋_GB2312" w:hAnsi="华文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9" w:type="dxa"/>
            <w:gridSpan w:val="2"/>
            <w:vMerge w:val="restart"/>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综合实践活动</w:t>
            </w:r>
          </w:p>
        </w:tc>
        <w:tc>
          <w:tcPr>
            <w:tcW w:w="1309"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研究性学习</w:t>
            </w:r>
          </w:p>
        </w:tc>
        <w:tc>
          <w:tcPr>
            <w:tcW w:w="4961" w:type="dxa"/>
            <w:gridSpan w:val="6"/>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6</w:t>
            </w:r>
          </w:p>
        </w:tc>
        <w:tc>
          <w:tcPr>
            <w:tcW w:w="2153" w:type="dxa"/>
            <w:vMerge w:val="restart"/>
            <w:shd w:val="clear" w:color="auto" w:fill="FFFFFF"/>
            <w:vAlign w:val="center"/>
          </w:tcPr>
          <w:p>
            <w:pPr>
              <w:spacing w:line="400" w:lineRule="exact"/>
              <w:textAlignment w:val="center"/>
              <w:rPr>
                <w:rFonts w:hint="eastAsia" w:ascii="仿宋_GB2312" w:hAnsi="华文仿宋" w:eastAsia="仿宋_GB2312"/>
                <w:bCs/>
                <w:szCs w:val="21"/>
              </w:rPr>
            </w:pPr>
            <w:r>
              <w:rPr>
                <w:rFonts w:hint="eastAsia" w:ascii="仿宋_GB2312" w:hAnsi="华文仿宋" w:eastAsia="仿宋_GB2312"/>
                <w:bCs/>
                <w:szCs w:val="21"/>
              </w:rPr>
              <w:t>均为必修内容，可以集中安排，也可以分散安排。研究性学习要完成2个课题研究或项目设计，以开展跨学科研究为主。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gridSpan w:val="2"/>
            <w:vMerge w:val="continue"/>
            <w:shd w:val="clear" w:color="auto" w:fill="FFFFFF"/>
            <w:vAlign w:val="center"/>
          </w:tcPr>
          <w:p>
            <w:pPr>
              <w:spacing w:line="520" w:lineRule="exact"/>
              <w:jc w:val="center"/>
              <w:textAlignment w:val="center"/>
              <w:rPr>
                <w:rFonts w:hint="eastAsia" w:ascii="仿宋_GB2312" w:hAnsi="华文仿宋" w:eastAsia="仿宋_GB2312"/>
                <w:bCs/>
                <w:szCs w:val="21"/>
              </w:rPr>
            </w:pPr>
          </w:p>
        </w:tc>
        <w:tc>
          <w:tcPr>
            <w:tcW w:w="1309" w:type="dxa"/>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ascii="仿宋_GB2312" w:hAnsi="华文仿宋" w:eastAsia="仿宋_GB2312"/>
                <w:bCs/>
                <w:szCs w:val="21"/>
              </w:rPr>
              <w:t>党团活动、军训、社会考察等</w:t>
            </w:r>
          </w:p>
        </w:tc>
        <w:tc>
          <w:tcPr>
            <w:tcW w:w="4961" w:type="dxa"/>
            <w:gridSpan w:val="6"/>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2</w:t>
            </w:r>
          </w:p>
        </w:tc>
        <w:tc>
          <w:tcPr>
            <w:tcW w:w="2153" w:type="dxa"/>
            <w:vMerge w:val="continue"/>
            <w:shd w:val="clear" w:color="auto" w:fill="FFFFFF"/>
            <w:vAlign w:val="center"/>
          </w:tcPr>
          <w:p>
            <w:pPr>
              <w:spacing w:line="400" w:lineRule="exact"/>
              <w:jc w:val="left"/>
              <w:textAlignment w:val="center"/>
              <w:rPr>
                <w:rFonts w:hint="eastAsia" w:ascii="仿宋_GB2312" w:hAnsi="华文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2078" w:type="dxa"/>
            <w:gridSpan w:val="3"/>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劳动</w:t>
            </w:r>
          </w:p>
        </w:tc>
        <w:tc>
          <w:tcPr>
            <w:tcW w:w="4961" w:type="dxa"/>
            <w:gridSpan w:val="6"/>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6</w:t>
            </w:r>
          </w:p>
        </w:tc>
        <w:tc>
          <w:tcPr>
            <w:tcW w:w="2153" w:type="dxa"/>
            <w:shd w:val="clear" w:color="auto" w:fill="FFFFFF"/>
            <w:vAlign w:val="center"/>
          </w:tcPr>
          <w:p>
            <w:pPr>
              <w:spacing w:line="400" w:lineRule="exact"/>
              <w:textAlignment w:val="center"/>
              <w:rPr>
                <w:rFonts w:hint="eastAsia" w:ascii="仿宋_GB2312" w:hAnsi="华文仿宋" w:eastAsia="仿宋_GB2312"/>
                <w:bCs/>
                <w:szCs w:val="21"/>
              </w:rPr>
            </w:pPr>
            <w:r>
              <w:rPr>
                <w:rFonts w:hint="eastAsia" w:ascii="仿宋_GB2312" w:hAnsi="华文仿宋" w:eastAsia="仿宋_GB2312"/>
                <w:bCs/>
                <w:szCs w:val="21"/>
              </w:rPr>
              <w:t>（</w:t>
            </w:r>
            <w:r>
              <w:rPr>
                <w:rFonts w:ascii="仿宋_GB2312" w:hAnsi="华文仿宋" w:eastAsia="仿宋_GB2312"/>
                <w:bCs/>
                <w:szCs w:val="21"/>
              </w:rPr>
              <w:t>1）安排志愿服务2</w:t>
            </w:r>
            <w:r>
              <w:rPr>
                <w:szCs w:val="21"/>
              </w:rPr>
              <w:t> </w:t>
            </w:r>
            <w:r>
              <w:rPr>
                <w:rFonts w:ascii="仿宋_GB2312" w:hAnsi="华文仿宋" w:eastAsia="仿宋_GB2312"/>
                <w:bCs/>
                <w:szCs w:val="21"/>
              </w:rPr>
              <w:t>学分，在课外时间进行，三年不少于</w:t>
            </w:r>
            <w:r>
              <w:rPr>
                <w:szCs w:val="21"/>
              </w:rPr>
              <w:t> </w:t>
            </w:r>
            <w:r>
              <w:rPr>
                <w:rFonts w:ascii="仿宋_GB2312" w:hAnsi="华文仿宋" w:eastAsia="仿宋_GB2312"/>
                <w:bCs/>
                <w:szCs w:val="21"/>
              </w:rPr>
              <w:t>60</w:t>
            </w:r>
            <w:r>
              <w:rPr>
                <w:rFonts w:hint="eastAsia" w:ascii="仿宋_GB2312" w:hAnsi="华文仿宋" w:eastAsia="仿宋_GB2312"/>
                <w:bCs/>
                <w:szCs w:val="21"/>
              </w:rPr>
              <w:t>课时。</w:t>
            </w:r>
          </w:p>
          <w:p>
            <w:pPr>
              <w:spacing w:line="400" w:lineRule="exact"/>
              <w:textAlignment w:val="center"/>
              <w:rPr>
                <w:rFonts w:hint="eastAsia" w:ascii="仿宋_GB2312" w:hAnsi="华文仿宋" w:eastAsia="仿宋_GB2312"/>
                <w:bCs/>
                <w:szCs w:val="21"/>
              </w:rPr>
            </w:pPr>
            <w:r>
              <w:rPr>
                <w:rFonts w:hint="eastAsia" w:ascii="仿宋_GB2312" w:hAnsi="华文仿宋" w:eastAsia="仿宋_GB2312"/>
                <w:bCs/>
                <w:szCs w:val="21"/>
              </w:rPr>
              <w:t>（</w:t>
            </w:r>
            <w:r>
              <w:rPr>
                <w:rFonts w:ascii="仿宋_GB2312" w:hAnsi="华文仿宋" w:eastAsia="仿宋_GB2312"/>
                <w:bCs/>
                <w:szCs w:val="21"/>
              </w:rPr>
              <w:t>2）其余4学分内容与通用技术</w:t>
            </w:r>
            <w:r>
              <w:rPr>
                <w:rFonts w:hint="eastAsia" w:ascii="仿宋_GB2312" w:hAnsi="华文仿宋" w:eastAsia="仿宋_GB2312"/>
                <w:bCs/>
                <w:szCs w:val="21"/>
              </w:rPr>
              <w:t>选择性必修</w:t>
            </w:r>
            <w:r>
              <w:rPr>
                <w:rFonts w:ascii="仿宋_GB2312" w:hAnsi="华文仿宋" w:eastAsia="仿宋_GB2312"/>
                <w:bCs/>
                <w:szCs w:val="21"/>
              </w:rPr>
              <w:t>及校本课程统筹</w:t>
            </w:r>
            <w:r>
              <w:rPr>
                <w:rFonts w:hint="eastAsia" w:ascii="仿宋_GB2312" w:hAnsi="华文仿宋" w:eastAsia="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2078" w:type="dxa"/>
            <w:gridSpan w:val="3"/>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校本课程</w:t>
            </w:r>
          </w:p>
        </w:tc>
        <w:tc>
          <w:tcPr>
            <w:tcW w:w="4961" w:type="dxa"/>
            <w:gridSpan w:val="6"/>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75</w:t>
            </w:r>
          </w:p>
        </w:tc>
        <w:tc>
          <w:tcPr>
            <w:tcW w:w="2153" w:type="dxa"/>
            <w:shd w:val="clear" w:color="auto" w:fill="FFFFFF"/>
            <w:vAlign w:val="center"/>
          </w:tcPr>
          <w:p>
            <w:pPr>
              <w:spacing w:line="400" w:lineRule="exact"/>
              <w:textAlignment w:val="center"/>
              <w:rPr>
                <w:rFonts w:hint="eastAsia" w:ascii="仿宋_GB2312" w:hAnsi="华文仿宋" w:eastAsia="仿宋_GB2312"/>
                <w:bCs/>
                <w:szCs w:val="21"/>
              </w:rPr>
            </w:pPr>
            <w:r>
              <w:rPr>
                <w:rFonts w:ascii="仿宋_GB2312" w:hAnsi="华文仿宋" w:eastAsia="仿宋_GB2312"/>
                <w:bCs/>
                <w:szCs w:val="21"/>
              </w:rPr>
              <w:t>此处所列的是校本课程</w:t>
            </w:r>
            <w:r>
              <w:rPr>
                <w:rFonts w:hint="eastAsia" w:ascii="仿宋_GB2312" w:hAnsi="华文仿宋" w:eastAsia="仿宋_GB2312"/>
                <w:bCs/>
                <w:szCs w:val="21"/>
              </w:rPr>
              <w:t>学分上限要求，学校要结合实际情况合理安排。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2078" w:type="dxa"/>
            <w:gridSpan w:val="3"/>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晨（午）会</w:t>
            </w:r>
          </w:p>
        </w:tc>
        <w:tc>
          <w:tcPr>
            <w:tcW w:w="4961" w:type="dxa"/>
            <w:gridSpan w:val="6"/>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每天</w:t>
            </w:r>
            <w:r>
              <w:rPr>
                <w:rFonts w:ascii="仿宋_GB2312" w:hAnsi="华文仿宋" w:eastAsia="仿宋_GB2312"/>
                <w:bCs/>
                <w:szCs w:val="21"/>
              </w:rPr>
              <w:t>15-20</w:t>
            </w:r>
            <w:r>
              <w:rPr>
                <w:rFonts w:hint="eastAsia" w:ascii="仿宋_GB2312" w:hAnsi="华文仿宋" w:eastAsia="仿宋_GB2312"/>
                <w:bCs/>
                <w:szCs w:val="21"/>
              </w:rPr>
              <w:t>分钟</w:t>
            </w:r>
          </w:p>
        </w:tc>
        <w:tc>
          <w:tcPr>
            <w:tcW w:w="2153" w:type="dxa"/>
            <w:shd w:val="clear" w:color="auto" w:fill="FFFFFF"/>
            <w:vAlign w:val="center"/>
          </w:tcPr>
          <w:p>
            <w:pPr>
              <w:spacing w:line="520" w:lineRule="exact"/>
              <w:jc w:val="left"/>
              <w:textAlignment w:val="center"/>
              <w:rPr>
                <w:rFonts w:hint="eastAsia" w:ascii="仿宋_GB2312" w:hAnsi="华文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2078" w:type="dxa"/>
            <w:gridSpan w:val="3"/>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午休</w:t>
            </w:r>
          </w:p>
        </w:tc>
        <w:tc>
          <w:tcPr>
            <w:tcW w:w="4961" w:type="dxa"/>
            <w:gridSpan w:val="6"/>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每天至少</w:t>
            </w:r>
            <w:r>
              <w:rPr>
                <w:rFonts w:ascii="仿宋_GB2312" w:hAnsi="华文仿宋" w:eastAsia="仿宋_GB2312"/>
                <w:bCs/>
                <w:szCs w:val="21"/>
              </w:rPr>
              <w:t>30</w:t>
            </w:r>
            <w:r>
              <w:rPr>
                <w:rFonts w:hint="eastAsia" w:ascii="仿宋_GB2312" w:hAnsi="华文仿宋" w:eastAsia="仿宋_GB2312"/>
                <w:bCs/>
                <w:szCs w:val="21"/>
              </w:rPr>
              <w:t>分钟</w:t>
            </w:r>
          </w:p>
        </w:tc>
        <w:tc>
          <w:tcPr>
            <w:tcW w:w="2153" w:type="dxa"/>
            <w:shd w:val="clear" w:color="auto" w:fill="FFFFFF"/>
            <w:vAlign w:val="center"/>
          </w:tcPr>
          <w:p>
            <w:pPr>
              <w:spacing w:line="520" w:lineRule="exact"/>
              <w:jc w:val="left"/>
              <w:textAlignment w:val="center"/>
              <w:rPr>
                <w:rFonts w:hint="eastAsia" w:ascii="仿宋_GB2312" w:hAnsi="华文仿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2078" w:type="dxa"/>
            <w:gridSpan w:val="3"/>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广播操、眼保健操</w:t>
            </w:r>
          </w:p>
        </w:tc>
        <w:tc>
          <w:tcPr>
            <w:tcW w:w="4961" w:type="dxa"/>
            <w:gridSpan w:val="6"/>
            <w:shd w:val="clear" w:color="auto" w:fill="FFFFFF"/>
            <w:vAlign w:val="center"/>
          </w:tcPr>
          <w:p>
            <w:pPr>
              <w:spacing w:line="520" w:lineRule="exact"/>
              <w:jc w:val="center"/>
              <w:textAlignment w:val="center"/>
              <w:rPr>
                <w:rFonts w:hint="eastAsia" w:ascii="仿宋_GB2312" w:hAnsi="华文仿宋" w:eastAsia="仿宋_GB2312"/>
                <w:bCs/>
                <w:szCs w:val="21"/>
              </w:rPr>
            </w:pPr>
            <w:r>
              <w:rPr>
                <w:rFonts w:hint="eastAsia" w:ascii="仿宋_GB2312" w:hAnsi="华文仿宋" w:eastAsia="仿宋_GB2312"/>
                <w:bCs/>
                <w:szCs w:val="21"/>
              </w:rPr>
              <w:t>每天约</w:t>
            </w:r>
            <w:r>
              <w:rPr>
                <w:rFonts w:ascii="仿宋_GB2312" w:hAnsi="华文仿宋" w:eastAsia="仿宋_GB2312"/>
                <w:bCs/>
                <w:szCs w:val="21"/>
              </w:rPr>
              <w:t>40</w:t>
            </w:r>
            <w:r>
              <w:rPr>
                <w:rFonts w:hint="eastAsia" w:ascii="仿宋_GB2312" w:hAnsi="华文仿宋" w:eastAsia="仿宋_GB2312"/>
                <w:bCs/>
                <w:szCs w:val="21"/>
              </w:rPr>
              <w:t>分钟</w:t>
            </w:r>
          </w:p>
        </w:tc>
        <w:tc>
          <w:tcPr>
            <w:tcW w:w="2153" w:type="dxa"/>
            <w:shd w:val="clear" w:color="auto" w:fill="FFFFFF"/>
            <w:vAlign w:val="center"/>
          </w:tcPr>
          <w:p>
            <w:pPr>
              <w:spacing w:line="520" w:lineRule="exact"/>
              <w:jc w:val="left"/>
              <w:textAlignment w:val="center"/>
              <w:rPr>
                <w:rFonts w:hint="eastAsia" w:ascii="仿宋_GB2312" w:hAnsi="华文仿宋" w:eastAsia="仿宋_GB2312"/>
                <w:bCs/>
                <w:szCs w:val="21"/>
              </w:rPr>
            </w:pPr>
          </w:p>
        </w:tc>
      </w:tr>
    </w:tbl>
    <w:p>
      <w:pPr>
        <w:widowControl/>
        <w:spacing w:line="520" w:lineRule="exact"/>
        <w:jc w:val="center"/>
        <w:rPr>
          <w:rFonts w:hint="eastAsia" w:ascii="方正小标宋简体" w:hAnsi="华文中宋" w:eastAsia="方正小标宋简体" w:cs="宋体"/>
          <w:kern w:val="0"/>
          <w:sz w:val="38"/>
          <w:szCs w:val="38"/>
        </w:rPr>
      </w:pPr>
      <w:r>
        <w:rPr>
          <w:rFonts w:hint="eastAsia" w:ascii="方正小标宋简体" w:hAnsi="华文中宋" w:eastAsia="方正小标宋简体" w:cs="宋体"/>
          <w:kern w:val="0"/>
          <w:sz w:val="38"/>
          <w:szCs w:val="38"/>
        </w:rPr>
        <w:t>上海市普通高中课程计划示例说明</w:t>
      </w:r>
    </w:p>
    <w:p>
      <w:pPr>
        <w:spacing w:line="520" w:lineRule="exact"/>
        <w:jc w:val="center"/>
        <w:rPr>
          <w:rFonts w:hint="eastAsia" w:ascii="仿宋_GB2312" w:hAnsi="华文仿宋" w:eastAsia="仿宋_GB2312" w:cs="宋体"/>
          <w:bCs/>
          <w:kern w:val="0"/>
          <w:sz w:val="32"/>
          <w:szCs w:val="32"/>
        </w:rPr>
      </w:pPr>
    </w:p>
    <w:p>
      <w:pPr>
        <w:spacing w:line="520" w:lineRule="exact"/>
        <w:ind w:firstLine="600" w:firstLineChars="200"/>
        <w:rPr>
          <w:rFonts w:hint="eastAsia" w:ascii="仿宋_GB2312" w:hAnsi="华文仿宋" w:eastAsia="仿宋_GB2312" w:cs="宋体"/>
          <w:bCs/>
          <w:kern w:val="0"/>
          <w:sz w:val="30"/>
          <w:szCs w:val="30"/>
        </w:rPr>
      </w:pPr>
      <w:r>
        <w:rPr>
          <w:rFonts w:hint="eastAsia" w:ascii="仿宋_GB2312" w:hAnsi="华文仿宋" w:eastAsia="仿宋_GB2312" w:cs="宋体"/>
          <w:bCs/>
          <w:kern w:val="0"/>
          <w:sz w:val="30"/>
          <w:szCs w:val="30"/>
        </w:rPr>
        <w:t>一、高中学校应依据国家课程设置要求，结合办学目标、学生特点和实际条件，制订满足学生发展需要的课程实施规划。开齐开足国家规定的各类课程，加强学校课程管理，切实贯彻落实国家普通高中课程方案。</w:t>
      </w:r>
    </w:p>
    <w:p>
      <w:pPr>
        <w:spacing w:line="520" w:lineRule="exact"/>
        <w:ind w:firstLine="600" w:firstLineChars="200"/>
        <w:rPr>
          <w:rFonts w:hint="eastAsia" w:ascii="仿宋_GB2312" w:hAnsi="华文仿宋" w:eastAsia="仿宋_GB2312" w:cs="宋体"/>
          <w:bCs/>
          <w:kern w:val="0"/>
          <w:sz w:val="30"/>
          <w:szCs w:val="30"/>
        </w:rPr>
      </w:pPr>
      <w:r>
        <w:rPr>
          <w:rFonts w:hint="eastAsia" w:ascii="仿宋_GB2312" w:hAnsi="华文仿宋" w:eastAsia="仿宋_GB2312" w:cs="宋体"/>
          <w:bCs/>
          <w:kern w:val="0"/>
          <w:sz w:val="30"/>
          <w:szCs w:val="30"/>
        </w:rPr>
        <w:t>二、高中学校要建立学分认定和管理制度。学生修习的学分由学校认定。学生完成相应课程规定课时的学习并考试（考核）合格，即可获得相应学分。</w:t>
      </w:r>
    </w:p>
    <w:p>
      <w:pPr>
        <w:spacing w:line="520" w:lineRule="exact"/>
        <w:ind w:firstLine="600" w:firstLineChars="200"/>
        <w:rPr>
          <w:rFonts w:hint="eastAsia" w:ascii="仿宋_GB2312" w:hAnsi="华文仿宋" w:eastAsia="仿宋_GB2312" w:cs="宋体"/>
          <w:bCs/>
          <w:kern w:val="0"/>
          <w:sz w:val="30"/>
          <w:szCs w:val="30"/>
        </w:rPr>
      </w:pPr>
      <w:r>
        <w:rPr>
          <w:rFonts w:hint="eastAsia" w:ascii="仿宋_GB2312" w:hAnsi="华文仿宋" w:eastAsia="仿宋_GB2312" w:cs="宋体"/>
          <w:bCs/>
          <w:kern w:val="0"/>
          <w:sz w:val="30"/>
          <w:szCs w:val="30"/>
        </w:rPr>
        <w:t>毕业学分最低要求为144学分。其中，必修课程88学分，选择性必修课程42学分，选修课程14学分。18课时为1学分。</w:t>
      </w:r>
    </w:p>
    <w:p>
      <w:pPr>
        <w:spacing w:line="520" w:lineRule="exact"/>
        <w:ind w:firstLine="600" w:firstLineChars="200"/>
        <w:rPr>
          <w:rFonts w:hint="eastAsia" w:ascii="仿宋_GB2312" w:hAnsi="华文仿宋" w:eastAsia="仿宋_GB2312" w:cs="宋体"/>
          <w:bCs/>
          <w:kern w:val="0"/>
          <w:sz w:val="30"/>
          <w:szCs w:val="30"/>
        </w:rPr>
      </w:pPr>
      <w:r>
        <w:rPr>
          <w:rFonts w:hint="eastAsia" w:ascii="仿宋_GB2312" w:hAnsi="华文仿宋" w:eastAsia="仿宋_GB2312" w:cs="宋体"/>
          <w:bCs/>
          <w:kern w:val="0"/>
          <w:sz w:val="30"/>
          <w:szCs w:val="30"/>
        </w:rPr>
        <w:t>三、周课时总量控制在38节（含37节常规课和1节长课），常规课一般为40分钟/节，长课一般为95分钟/节，每周可安排一节长课，应符合国家周课时要求，应保证科目教学时间总量不变。</w:t>
      </w:r>
      <w:bookmarkStart w:id="0" w:name="_Hlk75854092"/>
      <w:r>
        <w:rPr>
          <w:rFonts w:hint="eastAsia" w:ascii="仿宋_GB2312" w:hAnsi="华文仿宋" w:eastAsia="仿宋_GB2312" w:cs="宋体"/>
          <w:bCs/>
          <w:kern w:val="0"/>
          <w:sz w:val="30"/>
          <w:szCs w:val="30"/>
        </w:rPr>
        <w:t>学校可结合实际情况，积极探索长课与常规课相结合的教学组织新样态，积极探索长课有效实施的多种方式。</w:t>
      </w:r>
      <w:bookmarkEnd w:id="0"/>
    </w:p>
    <w:p>
      <w:pPr>
        <w:spacing w:line="520" w:lineRule="exact"/>
        <w:ind w:firstLine="600" w:firstLineChars="200"/>
        <w:rPr>
          <w:rFonts w:hint="eastAsia" w:ascii="仿宋_GB2312" w:hAnsi="华文仿宋" w:eastAsia="仿宋_GB2312" w:cs="宋体"/>
          <w:bCs/>
          <w:kern w:val="0"/>
          <w:sz w:val="30"/>
          <w:szCs w:val="30"/>
          <w:u w:val="single"/>
        </w:rPr>
      </w:pPr>
      <w:r>
        <w:rPr>
          <w:rFonts w:hint="eastAsia" w:ascii="仿宋_GB2312" w:hAnsi="华文仿宋" w:eastAsia="仿宋_GB2312" w:cs="宋体"/>
          <w:bCs/>
          <w:kern w:val="0"/>
          <w:sz w:val="30"/>
          <w:szCs w:val="30"/>
        </w:rPr>
        <w:t>学校安排学生在校课堂教学时间不能突破周课时总量。晨（午）会、午休、体育保健活动、社团活动、部分体锻活动等不计入周课时总量，请各校结合本校实际积极有效组织实施。</w:t>
      </w:r>
    </w:p>
    <w:p>
      <w:pPr>
        <w:spacing w:line="520" w:lineRule="exact"/>
        <w:ind w:firstLine="600" w:firstLineChars="200"/>
        <w:rPr>
          <w:rFonts w:hint="eastAsia" w:ascii="仿宋_GB2312" w:hAnsi="华文仿宋" w:eastAsia="仿宋_GB2312" w:cs="宋体"/>
          <w:bCs/>
          <w:kern w:val="0"/>
          <w:sz w:val="30"/>
          <w:szCs w:val="30"/>
        </w:rPr>
      </w:pPr>
      <w:r>
        <w:rPr>
          <w:rFonts w:hint="eastAsia" w:ascii="仿宋_GB2312" w:hAnsi="华文仿宋" w:eastAsia="仿宋_GB2312" w:cs="宋体"/>
          <w:bCs/>
          <w:kern w:val="0"/>
          <w:sz w:val="30"/>
          <w:szCs w:val="30"/>
        </w:rPr>
        <w:t>四、上述普通高中课程计划示例中，仅具体列出了各学科国家课程必修和部分选择性必修学分安排，学校要结合实际开设好校本课程（选修课程），统筹安排高中各年级的必修、选择性必修、选修课程，特别是控制好高一年级必修课程的并开数量。</w:t>
      </w:r>
    </w:p>
    <w:p>
      <w:pPr>
        <w:spacing w:line="520" w:lineRule="exact"/>
        <w:ind w:firstLine="600" w:firstLineChars="200"/>
        <w:rPr>
          <w:rFonts w:hint="eastAsia" w:ascii="仿宋_GB2312" w:hAnsi="华文仿宋" w:eastAsia="仿宋_GB2312" w:cs="宋体"/>
          <w:bCs/>
          <w:kern w:val="0"/>
          <w:sz w:val="30"/>
          <w:szCs w:val="30"/>
        </w:rPr>
      </w:pPr>
      <w:r>
        <w:rPr>
          <w:rFonts w:hint="eastAsia" w:ascii="仿宋_GB2312" w:hAnsi="华文仿宋" w:eastAsia="仿宋_GB2312" w:cs="宋体"/>
          <w:bCs/>
          <w:kern w:val="0"/>
          <w:sz w:val="30"/>
          <w:szCs w:val="30"/>
        </w:rPr>
        <w:t>1.语文、数学、外语，按照《普通高中课程方案》中必修、选择性必修和选修学分的上限要求，考虑绝大多数学生参加高考的实际和考试时间，学校要将学分换算成周课时数后具体安排。</w:t>
      </w:r>
    </w:p>
    <w:p>
      <w:pPr>
        <w:spacing w:line="520" w:lineRule="exact"/>
        <w:ind w:firstLine="600" w:firstLineChars="200"/>
        <w:rPr>
          <w:rFonts w:hint="eastAsia" w:ascii="仿宋_GB2312" w:hAnsi="华文仿宋" w:eastAsia="仿宋_GB2312" w:cs="宋体"/>
          <w:bCs/>
          <w:kern w:val="0"/>
          <w:sz w:val="30"/>
          <w:szCs w:val="30"/>
        </w:rPr>
      </w:pPr>
      <w:r>
        <w:rPr>
          <w:rFonts w:hint="eastAsia" w:ascii="仿宋_GB2312" w:hAnsi="华文仿宋" w:eastAsia="仿宋_GB2312" w:cs="宋体"/>
          <w:bCs/>
          <w:kern w:val="0"/>
          <w:sz w:val="30"/>
          <w:szCs w:val="30"/>
        </w:rPr>
        <w:t>2.思想政治、历史、地理、物理、化学、生物学，按照《普通高中课程方案》中必修、选择性必修学分的上限要求以及选修学分的需求，结合学校实际情况，将学分换算为周课时数后具体安排。</w:t>
      </w:r>
    </w:p>
    <w:p>
      <w:pPr>
        <w:spacing w:line="520" w:lineRule="exact"/>
        <w:ind w:firstLine="600" w:firstLineChars="200"/>
        <w:rPr>
          <w:rFonts w:hint="eastAsia" w:ascii="仿宋_GB2312" w:hAnsi="华文仿宋" w:eastAsia="仿宋_GB2312" w:cs="宋体"/>
          <w:bCs/>
          <w:kern w:val="0"/>
          <w:sz w:val="30"/>
          <w:szCs w:val="30"/>
        </w:rPr>
      </w:pPr>
      <w:r>
        <w:rPr>
          <w:rFonts w:hint="eastAsia" w:ascii="仿宋_GB2312" w:hAnsi="华文仿宋" w:eastAsia="仿宋_GB2312" w:cs="宋体"/>
          <w:bCs/>
          <w:kern w:val="0"/>
          <w:sz w:val="30"/>
          <w:szCs w:val="30"/>
        </w:rPr>
        <w:t>3.将《习近平新时代中国特色社会主义思想学生读本》作为必修内容，利用思想政治课、班团队课、校本课程等统筹安排课时，由思想政治课教师主讲，每册集中学习1学期，平均每周1课时，安排在高一年级上学期。</w:t>
      </w:r>
    </w:p>
    <w:p>
      <w:pPr>
        <w:spacing w:line="520" w:lineRule="exact"/>
        <w:rPr>
          <w:rFonts w:hint="eastAsia" w:ascii="仿宋_GB2312" w:hAnsi="华文仿宋" w:eastAsia="仿宋_GB2312" w:cs="宋体"/>
          <w:bCs/>
          <w:kern w:val="0"/>
          <w:sz w:val="30"/>
          <w:szCs w:val="30"/>
        </w:rPr>
      </w:pPr>
      <w:r>
        <w:rPr>
          <w:rFonts w:hint="eastAsia" w:ascii="仿宋_GB2312" w:hAnsi="华文仿宋" w:eastAsia="仿宋_GB2312" w:cs="宋体"/>
          <w:bCs/>
          <w:kern w:val="0"/>
          <w:sz w:val="30"/>
          <w:szCs w:val="30"/>
        </w:rPr>
        <w:t xml:space="preserve">    4.深化具有上海特点的素养培育实践。设置技术（含信息技术、通用技术）必修课程，共6个学分，其中信息技术3个学分，通用技术3个学分，原则上在高一年级开设；探索实施信息技术跨学科学习，共1个学分，原则上在高一年级开设；鼓励高中学校积极开设选择性必修课程，建议各提供2个学分的修习内容。</w:t>
      </w:r>
    </w:p>
    <w:p>
      <w:pPr>
        <w:spacing w:line="520" w:lineRule="exact"/>
        <w:ind w:firstLine="600" w:firstLineChars="200"/>
        <w:rPr>
          <w:rFonts w:hint="eastAsia" w:ascii="仿宋_GB2312" w:hAnsi="华文仿宋" w:eastAsia="仿宋_GB2312" w:cs="宋体"/>
          <w:bCs/>
          <w:kern w:val="0"/>
          <w:sz w:val="30"/>
          <w:szCs w:val="30"/>
        </w:rPr>
      </w:pPr>
      <w:r>
        <w:rPr>
          <w:rFonts w:hint="eastAsia" w:ascii="仿宋_GB2312" w:hAnsi="华文仿宋" w:eastAsia="仿宋_GB2312" w:cs="宋体"/>
          <w:bCs/>
          <w:kern w:val="0"/>
          <w:sz w:val="30"/>
          <w:szCs w:val="30"/>
        </w:rPr>
        <w:t>5.体育与健康的必修内容，必须在高中三学年持续开设。要保证学生每天校园体育活动1小时，认真落实“三课、两操、两活动”，即每周安排体育与健康课程3课时、体育活动2次，每天安排广播操至少1次、眼保健操2次，不得挤占体育与健康课时和体育活动课时。体育活动可安排在选择性必修课程或选修课程中，因活动场地有限等原因安排有困难的，可将一次活动时间安排在课后，活动形式和时间可由学校根据实际灵活安排。每天统一安排30分钟的大课间体育活动，每节课间应安排学生走出教室适量活动和放松。从2021学年高一年级开始 ，高中体育专项化试点学校实行体育与健康4课时/周。高中体育专项化试点学校可根据专项化教学需求统筹安排“三课、两操、两活动”。</w:t>
      </w:r>
    </w:p>
    <w:p>
      <w:pPr>
        <w:spacing w:line="560" w:lineRule="exact"/>
        <w:ind w:firstLine="600" w:firstLineChars="200"/>
        <w:rPr>
          <w:rFonts w:ascii="仿宋_GB2312" w:hAnsi="楷体" w:eastAsia="仿宋_GB2312"/>
          <w:bCs/>
          <w:sz w:val="30"/>
          <w:szCs w:val="30"/>
        </w:rPr>
      </w:pPr>
      <w:r>
        <w:rPr>
          <w:rFonts w:hint="eastAsia" w:ascii="仿宋_GB2312" w:hAnsi="华文仿宋" w:eastAsia="仿宋_GB2312" w:cs="宋体"/>
          <w:bCs/>
          <w:kern w:val="0"/>
          <w:sz w:val="30"/>
          <w:szCs w:val="30"/>
        </w:rPr>
        <w:t>6.深化上海艺术教育改革，落实国家课程方案关于艺术、音乐、美术必修学分的基本要求，</w:t>
      </w:r>
      <w:r>
        <w:rPr>
          <w:rFonts w:hint="eastAsia" w:ascii="仿宋_GB2312" w:hAnsi="楷体" w:eastAsia="仿宋_GB2312"/>
          <w:bCs/>
          <w:sz w:val="30"/>
          <w:szCs w:val="30"/>
        </w:rPr>
        <w:t>鼓励融合实施，坚持共同基础与个性发展兼顾的原则，既要体现对学生艺术素养的培育，又要关注美术、音乐等方面的兴趣专长</w:t>
      </w:r>
      <w:r>
        <w:rPr>
          <w:rFonts w:hint="eastAsia" w:ascii="仿宋_GB2312" w:hAnsi="华文仿宋" w:eastAsia="仿宋_GB2312" w:cs="宋体"/>
          <w:bCs/>
          <w:kern w:val="0"/>
          <w:sz w:val="30"/>
          <w:szCs w:val="30"/>
        </w:rPr>
        <w:t>。</w:t>
      </w:r>
      <w:r>
        <w:rPr>
          <w:rFonts w:hint="eastAsia" w:ascii="仿宋_GB2312" w:hAnsi="楷体" w:eastAsia="仿宋_GB2312"/>
          <w:bCs/>
          <w:sz w:val="30"/>
          <w:szCs w:val="30"/>
        </w:rPr>
        <w:t>学生须在高中阶段完成6个必修学分的修习，其中至少完成共同基础2个学分的修习，剩余学分用于兴趣专长学习。可以选用艺术、音乐、美术全套教材的相关内容作为6个必修学分的教学资源。普通学校建议以区为单位，由区教育行政部门牵头统一设定必修学分构成，组织落实相关教研活动；特色学校的学分构成可以由学校自行确定，在市区教研部门的指导下，探索通过特色学校市级联盟的形式开展教研活动。</w:t>
      </w:r>
    </w:p>
    <w:p>
      <w:pPr>
        <w:spacing w:line="560" w:lineRule="exact"/>
        <w:ind w:firstLine="600" w:firstLineChars="200"/>
        <w:rPr>
          <w:rFonts w:ascii="仿宋_GB2312" w:hAnsi="楷体" w:eastAsia="仿宋_GB2312"/>
          <w:bCs/>
          <w:sz w:val="30"/>
          <w:szCs w:val="30"/>
        </w:rPr>
      </w:pPr>
      <w:r>
        <w:rPr>
          <w:rFonts w:hint="eastAsia" w:ascii="仿宋_GB2312" w:hAnsi="楷体" w:eastAsia="仿宋_GB2312"/>
          <w:bCs/>
          <w:sz w:val="30"/>
          <w:szCs w:val="30"/>
        </w:rPr>
        <w:t>7.综合实践活动、劳动课程中涉及的实践类安排，学校可以统筹使用社会实践（1周）时间和课外时间,要满足学生志愿服务和公益劳动、党团活动、军训、学农、社会考察等需要。</w:t>
      </w:r>
    </w:p>
    <w:p>
      <w:pPr>
        <w:spacing w:line="520" w:lineRule="exact"/>
        <w:ind w:firstLine="600" w:firstLineChars="200"/>
        <w:rPr>
          <w:rFonts w:ascii="仿宋_GB2312" w:hAnsi="楷体" w:eastAsia="仿宋_GB2312"/>
          <w:bCs/>
          <w:sz w:val="30"/>
          <w:szCs w:val="30"/>
        </w:rPr>
      </w:pPr>
      <w:r>
        <w:rPr>
          <w:rFonts w:hint="eastAsia" w:ascii="仿宋_GB2312" w:hAnsi="华文仿宋" w:eastAsia="仿宋_GB2312" w:cs="宋体"/>
          <w:bCs/>
          <w:kern w:val="0"/>
          <w:sz w:val="30"/>
          <w:szCs w:val="30"/>
        </w:rPr>
        <w:t>8.在周总课时不突破38节的前提下，校本课程可以由学校根据实际情况统筹开设。其中，一部分是在必修和选择性必修基础上设计的拓展、提高类学科选修课程；一部分是根据学生多样化需求，区域社会、经济、文化发展需要，以及学校办学特色等设计的研究型、跨学科、专题教育等其他课程，其他课程开设不得少于8学分。</w:t>
      </w:r>
    </w:p>
    <w:p>
      <w:pPr>
        <w:spacing w:line="520" w:lineRule="exact"/>
        <w:ind w:firstLine="600" w:firstLineChars="200"/>
        <w:rPr>
          <w:rFonts w:hint="eastAsia" w:ascii="仿宋_GB2312" w:hAnsi="华文仿宋" w:eastAsia="仿宋_GB2312" w:cs="宋体"/>
          <w:bCs/>
          <w:kern w:val="0"/>
          <w:sz w:val="30"/>
          <w:szCs w:val="30"/>
        </w:rPr>
      </w:pPr>
      <w:r>
        <w:rPr>
          <w:rFonts w:hint="eastAsia" w:ascii="仿宋_GB2312" w:hAnsi="华文仿宋" w:eastAsia="仿宋_GB2312" w:cs="宋体"/>
          <w:bCs/>
          <w:kern w:val="0"/>
          <w:sz w:val="30"/>
          <w:szCs w:val="30"/>
        </w:rPr>
        <w:t>坚持思想政治课程在高中三学年持续开设。其中，高三年级校本课程每周须安排1课时用于思想政治学科学习，面向全体学生，高三第一学期安排社会调查，第二学期安排重大时事政治教育。</w:t>
      </w:r>
    </w:p>
    <w:p>
      <w:pPr>
        <w:spacing w:line="520" w:lineRule="exact"/>
        <w:ind w:firstLine="600" w:firstLineChars="200"/>
        <w:rPr>
          <w:rFonts w:hint="eastAsia" w:ascii="仿宋_GB2312" w:hAnsi="华文仿宋" w:eastAsia="仿宋_GB2312" w:cs="宋体"/>
          <w:bCs/>
          <w:kern w:val="0"/>
          <w:sz w:val="30"/>
          <w:szCs w:val="30"/>
        </w:rPr>
      </w:pPr>
      <w:r>
        <w:rPr>
          <w:rFonts w:hint="eastAsia" w:ascii="仿宋_GB2312" w:hAnsi="华文仿宋" w:eastAsia="仿宋_GB2312" w:cs="宋体"/>
          <w:bCs/>
          <w:kern w:val="0"/>
          <w:sz w:val="30"/>
          <w:szCs w:val="30"/>
        </w:rPr>
        <w:t>校本课程中每周须安排1课时，用于开展班（队）会活动、专题教育等。</w:t>
      </w:r>
    </w:p>
    <w:p>
      <w:pPr>
        <w:spacing w:line="520" w:lineRule="exact"/>
        <w:ind w:firstLine="600" w:firstLineChars="200"/>
        <w:rPr>
          <w:rFonts w:hint="eastAsia" w:ascii="仿宋_GB2312" w:hAnsi="华文仿宋" w:eastAsia="仿宋_GB2312" w:cs="宋体"/>
          <w:bCs/>
          <w:kern w:val="0"/>
          <w:sz w:val="30"/>
          <w:szCs w:val="30"/>
        </w:rPr>
      </w:pPr>
      <w:r>
        <w:rPr>
          <w:rFonts w:hint="eastAsia" w:ascii="仿宋_GB2312" w:hAnsi="华文仿宋" w:eastAsia="仿宋_GB2312" w:cs="宋体"/>
          <w:bCs/>
          <w:kern w:val="0"/>
          <w:sz w:val="30"/>
          <w:szCs w:val="30"/>
        </w:rPr>
        <w:t>五、高中各年级每天安排15至20分钟的晨会或午会；每周在晨会或午会时间安排一次时事政治形势教育；每月在思想政治课内安排1节课进行重大时事政治专题教育；每月在校班会时间安排一次时事政策报告会。</w:t>
      </w:r>
    </w:p>
    <w:p>
      <w:pPr>
        <w:spacing w:line="520" w:lineRule="exact"/>
        <w:ind w:firstLine="600" w:firstLineChars="200"/>
        <w:rPr>
          <w:rFonts w:hint="eastAsia" w:ascii="仿宋_GB2312" w:hAnsi="华文仿宋" w:eastAsia="仿宋_GB2312" w:cs="宋体"/>
          <w:bCs/>
          <w:kern w:val="0"/>
          <w:sz w:val="30"/>
          <w:szCs w:val="30"/>
        </w:rPr>
      </w:pPr>
      <w:r>
        <w:rPr>
          <w:rFonts w:hint="eastAsia" w:ascii="仿宋_GB2312" w:hAnsi="华文仿宋" w:eastAsia="仿宋_GB2312" w:cs="宋体"/>
          <w:bCs/>
          <w:kern w:val="0"/>
          <w:sz w:val="30"/>
          <w:szCs w:val="30"/>
        </w:rPr>
        <w:t>六、各校要根据学生年龄特点开设好各类专题教育，确保相应的课时。结合本校实际开展学生发展指导，各校至少有一个年级每班每两周有1节生命教育心理健康活动课，由专职心理健康教育教师执教。每学期至少有1节以生命教育心理健康为主题的班团队会和1次有针对性的心理健康教育和生命教育专题活动，有计划、有活动、有记录，做到全覆盖、不断线。专题教育，一般安排在选修课程的课时内进行，部分专题教育的内容也可安排在晨会或午会时间进行。</w:t>
      </w:r>
    </w:p>
    <w:p>
      <w:pPr>
        <w:spacing w:line="520" w:lineRule="exact"/>
        <w:ind w:firstLine="600" w:firstLineChars="200"/>
        <w:rPr>
          <w:rFonts w:hint="eastAsia" w:ascii="仿宋_GB2312" w:hAnsi="华文仿宋" w:eastAsia="仿宋_GB2312" w:cs="宋体"/>
          <w:bCs/>
          <w:kern w:val="0"/>
          <w:sz w:val="30"/>
          <w:szCs w:val="30"/>
        </w:rPr>
      </w:pPr>
      <w:r>
        <w:rPr>
          <w:rFonts w:hint="eastAsia" w:ascii="仿宋_GB2312" w:hAnsi="华文仿宋" w:eastAsia="仿宋_GB2312" w:cs="宋体"/>
          <w:bCs/>
          <w:kern w:val="0"/>
          <w:sz w:val="30"/>
          <w:szCs w:val="30"/>
        </w:rPr>
        <w:t>学校要给学生提供丰富的学习经历，如：安全实训经历，社区服务与社会实践经历，研究、体验、宣传、演讲、表演、示范等经历，同时按照各学科课程标准要求开展，如：场地、数量、时间长短、成果形式等，确保实施质量。</w:t>
      </w:r>
    </w:p>
    <w:p>
      <w:pPr>
        <w:spacing w:line="520" w:lineRule="exact"/>
        <w:ind w:firstLine="600" w:firstLineChars="200"/>
        <w:rPr>
          <w:rFonts w:hint="eastAsia" w:ascii="仿宋_GB2312" w:hAnsi="华文仿宋" w:eastAsia="仿宋_GB2312" w:cs="宋体"/>
          <w:bCs/>
          <w:kern w:val="0"/>
          <w:sz w:val="30"/>
          <w:szCs w:val="30"/>
        </w:rPr>
      </w:pPr>
      <w:r>
        <w:rPr>
          <w:rFonts w:hint="eastAsia" w:ascii="仿宋_GB2312" w:hAnsi="华文仿宋" w:eastAsia="仿宋_GB2312" w:cs="宋体"/>
          <w:bCs/>
          <w:kern w:val="0"/>
          <w:sz w:val="30"/>
          <w:szCs w:val="30"/>
        </w:rPr>
        <w:t>七、各校要从本校实际出发做好统筹安排，每周各安排一次科技活动和艺术活动。</w:t>
      </w:r>
    </w:p>
    <w:p>
      <w:pPr>
        <w:spacing w:line="560" w:lineRule="exact"/>
        <w:ind w:firstLine="600" w:firstLineChars="200"/>
        <w:rPr>
          <w:rFonts w:ascii="仿宋_GB2312" w:eastAsia="仿宋_GB2312"/>
          <w:sz w:val="30"/>
          <w:szCs w:val="30"/>
        </w:rPr>
      </w:pPr>
      <w:r>
        <w:rPr>
          <w:rFonts w:hint="eastAsia" w:ascii="仿宋_GB2312" w:hAnsi="华文仿宋" w:eastAsia="仿宋_GB2312" w:cs="宋体"/>
          <w:bCs/>
          <w:kern w:val="0"/>
          <w:sz w:val="30"/>
          <w:szCs w:val="30"/>
        </w:rPr>
        <w:t>八、上课时间一般不早于8:00，学校不得要求学生提前到校参加统一教育教学活动，对于个别因家庭特殊情况提前到校的学生，学校应提前开门、妥善安置；合理安排课间休息和下午上课时间，倡导学校将午休时间排进课表，午休时间不少于30分钟，具体形式可以由学校结合实际探索实施。</w:t>
      </w:r>
    </w:p>
    <w:p>
      <w:pPr>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480" w:lineRule="exact"/>
        <w:rPr>
          <w:rFonts w:ascii="黑体" w:eastAsia="黑体"/>
          <w:sz w:val="32"/>
        </w:rPr>
      </w:pPr>
    </w:p>
    <w:p>
      <w:pPr>
        <w:spacing w:line="560" w:lineRule="exact"/>
        <w:ind w:right="140"/>
        <w:rPr>
          <w:sz w:val="28"/>
          <w:szCs w:val="28"/>
        </w:rPr>
      </w:pPr>
    </w:p>
    <w:tbl>
      <w:tblPr>
        <w:tblStyle w:val="4"/>
        <w:tblpPr w:leftFromText="180" w:rightFromText="180" w:vertAnchor="text" w:horzAnchor="margin" w:tblpY="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8"/>
        <w:gridCol w:w="4680"/>
        <w:gridCol w:w="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7" w:type="dxa"/>
            <w:gridSpan w:val="3"/>
            <w:tcBorders>
              <w:top w:val="single" w:color="auto" w:sz="12" w:space="0"/>
              <w:left w:val="nil"/>
              <w:bottom w:val="single" w:color="auto" w:sz="4" w:space="0"/>
              <w:right w:val="nil"/>
            </w:tcBorders>
          </w:tcPr>
          <w:p>
            <w:pPr>
              <w:spacing w:line="560" w:lineRule="exact"/>
              <w:ind w:firstLine="280" w:firstLineChars="100"/>
              <w:rPr>
                <w:rFonts w:ascii="仿宋_GB2312" w:eastAsia="仿宋_GB2312"/>
                <w:sz w:val="28"/>
                <w:szCs w:val="28"/>
              </w:rPr>
            </w:pPr>
            <w:r>
              <w:rPr>
                <w:rFonts w:hint="eastAsia" w:ascii="仿宋_GB2312" w:eastAsia="仿宋_GB2312"/>
                <w:sz w:val="28"/>
                <w:szCs w:val="28"/>
              </w:rPr>
              <w:t>抄送：市教育考试院、市教委教研室、市教育督导事务中心，各有关局、</w:t>
            </w:r>
          </w:p>
          <w:p>
            <w:pPr>
              <w:spacing w:line="560" w:lineRule="exact"/>
              <w:ind w:firstLine="1120" w:firstLineChars="400"/>
              <w:rPr>
                <w:rFonts w:ascii="黑体" w:eastAsia="黑体"/>
                <w:sz w:val="28"/>
                <w:szCs w:val="28"/>
              </w:rPr>
            </w:pPr>
            <w:r>
              <w:rPr>
                <w:rFonts w:hint="eastAsia" w:ascii="仿宋_GB2312" w:eastAsia="仿宋_GB2312"/>
                <w:sz w:val="28"/>
                <w:szCs w:val="28"/>
              </w:rPr>
              <w:t>公司教育处。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Borders>
              <w:left w:val="nil"/>
              <w:bottom w:val="single" w:color="auto" w:sz="12" w:space="0"/>
              <w:right w:val="nil"/>
            </w:tcBorders>
          </w:tcPr>
          <w:p>
            <w:pPr>
              <w:spacing w:line="560" w:lineRule="exact"/>
              <w:ind w:firstLine="280" w:firstLineChars="100"/>
              <w:rPr>
                <w:rFonts w:ascii="黑体" w:eastAsia="黑体"/>
                <w:sz w:val="28"/>
                <w:szCs w:val="28"/>
              </w:rPr>
            </w:pPr>
            <w:r>
              <w:rPr>
                <w:rFonts w:hint="eastAsia" w:ascii="仿宋_GB2312" w:eastAsia="仿宋_GB2312"/>
                <w:sz w:val="28"/>
                <w:szCs w:val="28"/>
              </w:rPr>
              <w:t>上海市教育委员会办公室</w:t>
            </w:r>
          </w:p>
        </w:tc>
        <w:tc>
          <w:tcPr>
            <w:tcW w:w="4680" w:type="dxa"/>
            <w:tcBorders>
              <w:left w:val="nil"/>
              <w:bottom w:val="single" w:color="auto" w:sz="12" w:space="0"/>
              <w:right w:val="nil"/>
            </w:tcBorders>
          </w:tcPr>
          <w:p>
            <w:pPr>
              <w:spacing w:line="560" w:lineRule="exact"/>
              <w:jc w:val="right"/>
              <w:rPr>
                <w:rFonts w:ascii="黑体" w:eastAsia="黑体"/>
                <w:sz w:val="28"/>
                <w:szCs w:val="28"/>
              </w:rPr>
            </w:pPr>
            <w:r>
              <w:rPr>
                <w:rFonts w:hint="eastAsia" w:ascii="仿宋_GB2312" w:eastAsia="仿宋_GB2312"/>
                <w:sz w:val="28"/>
                <w:szCs w:val="28"/>
              </w:rPr>
              <w:t>2021年7月28日印发</w:t>
            </w:r>
          </w:p>
        </w:tc>
        <w:tc>
          <w:tcPr>
            <w:tcW w:w="289" w:type="dxa"/>
            <w:tcBorders>
              <w:left w:val="nil"/>
              <w:bottom w:val="single" w:color="auto" w:sz="12" w:space="0"/>
              <w:right w:val="nil"/>
            </w:tcBorders>
          </w:tcPr>
          <w:p>
            <w:pPr>
              <w:spacing w:line="560" w:lineRule="exact"/>
              <w:ind w:right="359" w:rightChars="171"/>
              <w:jc w:val="right"/>
              <w:rPr>
                <w:rFonts w:ascii="黑体" w:eastAsia="黑体"/>
                <w:sz w:val="28"/>
                <w:szCs w:val="28"/>
              </w:rPr>
            </w:pPr>
          </w:p>
        </w:tc>
      </w:tr>
    </w:tbl>
    <w:p>
      <w:pPr>
        <w:spacing w:line="560" w:lineRule="exact"/>
        <w:rPr>
          <w:rFonts w:ascii="黑体" w:eastAsia="黑体"/>
          <w:sz w:val="32"/>
        </w:rPr>
      </w:pPr>
    </w:p>
    <w:sectPr>
      <w:footerReference r:id="rId3" w:type="default"/>
      <w:footerReference r:id="rId4" w:type="even"/>
      <w:pgSz w:w="11906" w:h="16838"/>
      <w:pgMar w:top="2098" w:right="1508" w:bottom="1713" w:left="1520" w:header="851" w:footer="1418"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roman"/>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rPr>
    </w:pPr>
    <w:r>
      <w:rPr>
        <w:rStyle w:val="6"/>
        <w:rFonts w:hint="eastAsia" w:ascii="宋体" w:hAnsi="宋体"/>
        <w:sz w:val="28"/>
      </w:rPr>
      <w:t xml:space="preserve">—  </w:t>
    </w:r>
    <w:r>
      <w:rPr>
        <w:rStyle w:val="6"/>
        <w:rFonts w:ascii="宋体" w:hAnsi="宋体"/>
        <w:sz w:val="28"/>
      </w:rPr>
      <w:fldChar w:fldCharType="begin"/>
    </w:r>
    <w:r>
      <w:rPr>
        <w:rStyle w:val="6"/>
        <w:rFonts w:ascii="宋体" w:hAnsi="宋体"/>
        <w:sz w:val="28"/>
      </w:rPr>
      <w:instrText xml:space="preserve">PAGE  </w:instrText>
    </w:r>
    <w:r>
      <w:rPr>
        <w:rStyle w:val="6"/>
        <w:rFonts w:ascii="宋体" w:hAnsi="宋体"/>
        <w:sz w:val="28"/>
      </w:rPr>
      <w:fldChar w:fldCharType="separate"/>
    </w:r>
    <w:r>
      <w:rPr>
        <w:rStyle w:val="6"/>
        <w:rFonts w:ascii="宋体" w:hAnsi="宋体"/>
        <w:sz w:val="28"/>
      </w:rPr>
      <w:t>1</w:t>
    </w:r>
    <w:r>
      <w:rPr>
        <w:rStyle w:val="6"/>
        <w:rFonts w:ascii="宋体" w:hAnsi="宋体"/>
        <w:sz w:val="28"/>
      </w:rPr>
      <w:fldChar w:fldCharType="end"/>
    </w:r>
    <w:r>
      <w:rPr>
        <w:rStyle w:val="6"/>
        <w:rFonts w:hint="eastAsia" w:ascii="宋体" w:hAnsi="宋体"/>
        <w:sz w:val="28"/>
      </w:rPr>
      <w:t xml:space="preserve">  —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NzhhNmNiYzY0NDVmODJhNzA0ZWJkZDhkNGRhYTRiM2EifQ=="/>
  </w:docVars>
  <w:rsids>
    <w:rsidRoot w:val="00064755"/>
    <w:rsid w:val="00064755"/>
    <w:rsid w:val="000710C2"/>
    <w:rsid w:val="00082EC4"/>
    <w:rsid w:val="00095E3D"/>
    <w:rsid w:val="001B2AE5"/>
    <w:rsid w:val="002462AA"/>
    <w:rsid w:val="00256187"/>
    <w:rsid w:val="002D5C26"/>
    <w:rsid w:val="002D762B"/>
    <w:rsid w:val="00351EB8"/>
    <w:rsid w:val="00462980"/>
    <w:rsid w:val="004779D8"/>
    <w:rsid w:val="004D6037"/>
    <w:rsid w:val="004D7D01"/>
    <w:rsid w:val="005173F0"/>
    <w:rsid w:val="00541AAD"/>
    <w:rsid w:val="005D6AB9"/>
    <w:rsid w:val="00607502"/>
    <w:rsid w:val="00640C50"/>
    <w:rsid w:val="00671EB0"/>
    <w:rsid w:val="006A3AF8"/>
    <w:rsid w:val="008A4009"/>
    <w:rsid w:val="009273D4"/>
    <w:rsid w:val="009572C0"/>
    <w:rsid w:val="00977C74"/>
    <w:rsid w:val="00B0219A"/>
    <w:rsid w:val="00B12366"/>
    <w:rsid w:val="00B42479"/>
    <w:rsid w:val="00BA3B51"/>
    <w:rsid w:val="00BD6D35"/>
    <w:rsid w:val="00CB3DDD"/>
    <w:rsid w:val="00DD6338"/>
    <w:rsid w:val="00DE3BA0"/>
    <w:rsid w:val="00F8158C"/>
    <w:rsid w:val="00FE0E8F"/>
    <w:rsid w:val="00FF46F3"/>
    <w:rsid w:val="4493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2"/>
        <o:r id="V:Rule2" type="connector" idref="#AutoShap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3218\Desktop\Templates%202017\&#27169;&#26495;&#26368;&#26032;\&#25991;&#20214;&#27169;&#26495;2021\&#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Template>
  <Company>Microsoft</Company>
  <Pages>18</Pages>
  <Words>1396</Words>
  <Characters>7958</Characters>
  <Lines>66</Lines>
  <Paragraphs>18</Paragraphs>
  <TotalTime>60</TotalTime>
  <ScaleCrop>false</ScaleCrop>
  <LinksUpToDate>false</LinksUpToDate>
  <CharactersWithSpaces>9336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2021-07-29T06:29:00Z</dcterms:created>
  <dc:creator>李倩</dc:creator>
  <cp:lastModifiedBy>W</cp:lastModifiedBy>
  <cp:lastPrinted>2001-01-04T07:59:00Z</cp:lastPrinted>
  <dcterms:modified xsi:type="dcterms:W3CDTF">2024-03-15T01:50:44Z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3EB503B1A7D04D9CBB182FC67A3E2DCA_12</vt:lpwstr>
  </property>
</Properties>
</file>