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BF1DE" w:themeColor="accent3" w:themeTint="33"/>
  <w:body>
    <w:p>
      <w:pPr>
        <w:snapToGrid w:val="0"/>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政 府 工 作 报 告</w:t>
      </w:r>
    </w:p>
    <w:p>
      <w:pPr>
        <w:snapToGrid w:val="0"/>
        <w:spacing w:line="560" w:lineRule="exact"/>
        <w:ind w:firstLine="640" w:firstLineChars="200"/>
        <w:rPr>
          <w:rFonts w:hint="default" w:ascii="Times New Roman" w:hAnsi="Times New Roman" w:eastAsia="楷体_GB2312" w:cs="Times New Roman"/>
          <w:color w:val="auto"/>
          <w:sz w:val="32"/>
          <w:szCs w:val="32"/>
          <w:highlight w:val="none"/>
        </w:rPr>
      </w:pPr>
    </w:p>
    <w:p>
      <w:pPr>
        <w:snapToGrid w:val="0"/>
        <w:spacing w:line="56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各位代表、同志们：</w:t>
      </w:r>
    </w:p>
    <w:p>
      <w:pPr>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我代表高东镇人民政府，向大会报告工作，请予审议，并请各位列席人员提出意见。</w:t>
      </w:r>
    </w:p>
    <w:p>
      <w:pPr>
        <w:snapToGrid w:val="0"/>
        <w:spacing w:line="560" w:lineRule="exact"/>
        <w:rPr>
          <w:rFonts w:hint="default" w:ascii="Times New Roman" w:hAnsi="Times New Roman" w:eastAsia="仿宋_GB2312" w:cs="Times New Roman"/>
          <w:color w:val="auto"/>
          <w:sz w:val="32"/>
          <w:szCs w:val="32"/>
          <w:highlight w:val="none"/>
        </w:rPr>
      </w:pPr>
    </w:p>
    <w:p>
      <w:pPr>
        <w:snapToGrid w:val="0"/>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一、2024年工作回顾</w:t>
      </w:r>
    </w:p>
    <w:p>
      <w:pPr>
        <w:snapToGrid w:val="0"/>
        <w:spacing w:line="560" w:lineRule="exact"/>
        <w:jc w:val="center"/>
        <w:rPr>
          <w:rFonts w:hint="default" w:ascii="Times New Roman" w:hAnsi="Times New Roman" w:eastAsia="黑体" w:cs="Times New Roman"/>
          <w:color w:val="auto"/>
          <w:sz w:val="32"/>
          <w:szCs w:val="32"/>
          <w:highlight w:val="none"/>
        </w:rPr>
      </w:pPr>
    </w:p>
    <w:p>
      <w:pPr>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今年以来，我们坚持以习近平新时代中国特色社会主义思想为指导，全面贯彻落实党的二十大、二十届三中全会精神和习近平总书记考察上海重要讲话精神，坚决贯彻执行市委市政府、区委区政府决策部署，在镇党委的坚强领导下，在镇人大的监督支持下，在全镇广大干部群众的共同努力下，紧紧围绕浦东打造社会主义现代化建设引领区的战略目标，聚精会神谋发展、矢志不渝惠民生，全力推进高东“富、强、美、好”现代化主城区建设，较好完成了镇六届人大五次会议确定的各项任务，全镇经济社会各项事业保持平稳健康发展。</w:t>
      </w:r>
    </w:p>
    <w:p>
      <w:pPr>
        <w:snapToGrid w:val="0"/>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一年来，我们承压奋进推动产业转型升级，</w:t>
      </w:r>
      <w:bookmarkStart w:id="0" w:name="OLE_LINK2"/>
      <w:bookmarkStart w:id="1" w:name="OLE_LINK1"/>
      <w:r>
        <w:rPr>
          <w:rFonts w:hint="default" w:ascii="Times New Roman" w:hAnsi="Times New Roman" w:eastAsia="楷体_GB2312" w:cs="Times New Roman"/>
          <w:b/>
          <w:bCs/>
          <w:color w:val="auto"/>
          <w:sz w:val="32"/>
          <w:szCs w:val="32"/>
          <w:highlight w:val="none"/>
        </w:rPr>
        <w:t>经济运行延续回升向好</w:t>
      </w:r>
      <w:bookmarkEnd w:id="0"/>
      <w:bookmarkEnd w:id="1"/>
      <w:r>
        <w:rPr>
          <w:rFonts w:hint="default" w:ascii="Times New Roman" w:hAnsi="Times New Roman" w:eastAsia="楷体_GB2312" w:cs="Times New Roman"/>
          <w:b/>
          <w:bCs/>
          <w:color w:val="auto"/>
          <w:sz w:val="32"/>
          <w:szCs w:val="32"/>
          <w:highlight w:val="none"/>
        </w:rPr>
        <w:t>态势</w:t>
      </w:r>
      <w:r>
        <w:rPr>
          <w:rFonts w:hint="default" w:ascii="Times New Roman" w:hAnsi="Times New Roman" w:eastAsia="仿宋_GB2312" w:cs="Times New Roman"/>
          <w:b/>
          <w:bCs/>
          <w:color w:val="auto"/>
          <w:sz w:val="32"/>
          <w:szCs w:val="32"/>
          <w:highlight w:val="none"/>
        </w:rPr>
        <w:t>。</w:t>
      </w:r>
    </w:p>
    <w:p>
      <w:pPr>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过去一年，面对错综复杂的国内外形势和各类不确定性因素，我们立足经济高质量发展大局，全力以赴拼经济，凝心聚力抓项目，千方百计扩投资，推动各项经济指标全面增长、稳定增长。预计全年完成税收约32亿元，同比增长31％；属地规上工业总产值约355亿元，同比增长4%；全社会固定资产投资约26亿元；招引项目270个，新增内资18.69亿元，实到外资1679.41万美元。</w:t>
      </w:r>
    </w:p>
    <w:p>
      <w:pPr>
        <w:snapToGrid w:val="0"/>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color w:val="auto"/>
          <w:sz w:val="32"/>
          <w:szCs w:val="32"/>
          <w:highlight w:val="none"/>
        </w:rPr>
        <w:t>产业能级加速提升</w:t>
      </w:r>
      <w:r>
        <w:rPr>
          <w:rFonts w:hint="default" w:ascii="Times New Roman" w:hAnsi="Times New Roman" w:eastAsia="仿宋_GB2312" w:cs="Times New Roman"/>
          <w:color w:val="auto"/>
          <w:sz w:val="32"/>
          <w:szCs w:val="32"/>
          <w:highlight w:val="none"/>
        </w:rPr>
        <w:t>。用好深化改革“关键一招”，找准产业定位、优化空间布局、明确实施路径，编制《高东镇产业转型升级规划》，逐步构建“1主+1特”邮轮产业园生态体系。深化特色产业园区建设，推动邮轮供应链本土化整体布局，高起点、高水平打造浦东邮轮产业集聚地。以“零增地”改扩建</w:t>
      </w:r>
      <w:r>
        <w:rPr>
          <w:rFonts w:hint="default" w:ascii="Times New Roman" w:hAnsi="Times New Roman" w:eastAsia="仿宋_GB2312" w:cs="Times New Roman"/>
          <w:color w:val="auto"/>
          <w:sz w:val="32"/>
          <w:szCs w:val="32"/>
          <w:highlight w:val="none"/>
          <w:vertAlign w:val="superscript"/>
        </w:rPr>
        <w:t>[1]</w:t>
      </w:r>
      <w:r>
        <w:rPr>
          <w:rFonts w:hint="default" w:ascii="Times New Roman" w:hAnsi="Times New Roman" w:eastAsia="仿宋_GB2312" w:cs="Times New Roman"/>
          <w:color w:val="auto"/>
          <w:sz w:val="32"/>
          <w:szCs w:val="32"/>
          <w:highlight w:val="none"/>
        </w:rPr>
        <w:t>为抓手，推动存量土地提质增效，新久和、金杨金属项目开工建设。优化全周期、全链条、全要素产业服务，确保益海嘉里、北里永幸、亚冷控股等项目序时推进。坚持高水平“走出去”、高质量“引进来”双向发力，围绕邮轮配套、食品加工、先进制造、现代物流等优势产业，赴国内外开展7批次“强链、补链、延链”式招商，万方船舶科技、海程邦达、远达海事等企业落户高东。联合邮轮大企业创新中心对高东产业服务中心实施焕新升级，倾力打造专业化、集成化、系统化产业展示的“前沿窗口”。</w:t>
      </w:r>
    </w:p>
    <w:p>
      <w:pPr>
        <w:snapToGrid w:val="0"/>
        <w:spacing w:line="560" w:lineRule="exact"/>
        <w:ind w:firstLine="643" w:firstLineChars="20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营商环境持续优化</w:t>
      </w:r>
      <w:r>
        <w:rPr>
          <w:rFonts w:hint="default" w:ascii="Times New Roman" w:hAnsi="Times New Roman" w:eastAsia="仿宋_GB2312" w:cs="Times New Roman"/>
          <w:color w:val="auto"/>
          <w:sz w:val="32"/>
          <w:szCs w:val="32"/>
          <w:highlight w:val="none"/>
        </w:rPr>
        <w:t>。努力推动助企惠企政策落实落地，申报财政扶持资金约1.8亿元，惠及企业119家，持续提振企业发展信心。用足用好失业保险企业稳岗返还政策，惠及中小企业1173家，补贴金额370余万元。培育壮大优质产业资源，助力海运海事获得市级“专精特新”、创新型企业认定，城建隧道、久和精密、凯航通力等7家企业完成高新技术企业复审，国药现代获评五星绿色工厂。做实做细企业人才服务保障，落实租房补贴资金182.5万元，惠及21家企业、164名企业骨干，政策执行率100%。认真落实“明珠计划”</w:t>
      </w:r>
      <w:r>
        <w:rPr>
          <w:rFonts w:hint="default" w:ascii="Times New Roman" w:hAnsi="Times New Roman" w:eastAsia="仿宋_GB2312" w:cs="Times New Roman"/>
          <w:color w:val="auto"/>
          <w:sz w:val="32"/>
          <w:szCs w:val="32"/>
          <w:highlight w:val="none"/>
          <w:vertAlign w:val="superscript"/>
        </w:rPr>
        <w:t>[2]</w:t>
      </w:r>
      <w:r>
        <w:rPr>
          <w:rFonts w:hint="default" w:ascii="Times New Roman" w:hAnsi="Times New Roman" w:eastAsia="仿宋_GB2312" w:cs="Times New Roman"/>
          <w:color w:val="auto"/>
          <w:sz w:val="32"/>
          <w:szCs w:val="32"/>
          <w:highlight w:val="none"/>
        </w:rPr>
        <w:t>，推荐获评“明珠菁英人才”1名、“明珠工程师”4名。广泛开展企业“大走访”，落实重点企业“服务包”制度</w:t>
      </w:r>
      <w:r>
        <w:rPr>
          <w:rFonts w:hint="default" w:ascii="Times New Roman" w:hAnsi="Times New Roman" w:eastAsia="仿宋_GB2312" w:cs="Times New Roman"/>
          <w:color w:val="auto"/>
          <w:sz w:val="32"/>
          <w:szCs w:val="32"/>
          <w:highlight w:val="none"/>
          <w:vertAlign w:val="superscript"/>
        </w:rPr>
        <w:t>[3]</w:t>
      </w:r>
      <w:r>
        <w:rPr>
          <w:rFonts w:hint="default" w:ascii="Times New Roman" w:hAnsi="Times New Roman" w:eastAsia="仿宋_GB2312" w:cs="Times New Roman"/>
          <w:color w:val="auto"/>
          <w:sz w:val="32"/>
          <w:szCs w:val="32"/>
          <w:highlight w:val="none"/>
        </w:rPr>
        <w:t>，走访企业1423家次，回应解决企业发展诉求718个，重点企业稳定率近100％。高东镇商会荣获2023-2024年度上海市“四好”商会。房产联盟有序运行，累计收储房源96套，入住企业人才118名，有效发挥服务产业、服务企业作用。高东公寓改造项目竣工，整体交付外高桥船厂使用。建优建强“政企+企企”互联互动平台，举办浦东新区航运物流高东专场投资说明推介会、</w:t>
      </w:r>
      <w:r>
        <w:rPr>
          <w:rFonts w:hint="default" w:ascii="Times New Roman" w:hAnsi="Times New Roman" w:eastAsia="仿宋_GB2312" w:cs="Times New Roman"/>
          <w:color w:val="auto"/>
          <w:spacing w:val="8"/>
          <w:sz w:val="32"/>
          <w:szCs w:val="32"/>
          <w:highlight w:val="none"/>
        </w:rPr>
        <w:t>“税助发展，向新而进”税务政策解读会等主题活动</w:t>
      </w:r>
      <w:r>
        <w:rPr>
          <w:rFonts w:hint="default" w:ascii="Times New Roman" w:hAnsi="Times New Roman" w:eastAsia="仿宋_GB2312" w:cs="Times New Roman"/>
          <w:color w:val="auto"/>
          <w:sz w:val="32"/>
          <w:szCs w:val="32"/>
          <w:highlight w:val="none"/>
        </w:rPr>
        <w:t>，携手构建企业发展共同体，合力推动本土产业优质均衡发展。</w:t>
      </w:r>
    </w:p>
    <w:p>
      <w:pPr>
        <w:snapToGrid w:val="0"/>
        <w:spacing w:line="56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color w:val="auto"/>
          <w:sz w:val="32"/>
          <w:szCs w:val="32"/>
          <w:highlight w:val="none"/>
        </w:rPr>
        <w:t>集资管理更趋规范</w:t>
      </w:r>
      <w:r>
        <w:rPr>
          <w:rFonts w:hint="default" w:ascii="Times New Roman" w:hAnsi="Times New Roman" w:eastAsia="仿宋_GB2312" w:cs="Times New Roman"/>
          <w:color w:val="auto"/>
          <w:sz w:val="32"/>
          <w:szCs w:val="32"/>
          <w:highlight w:val="none"/>
        </w:rPr>
        <w:t>。以促进新型农村集体经济健康发展为导向，制定《高东镇农村集体土地使用管理办法》，依托农村集体“三资”</w:t>
      </w:r>
      <w:r>
        <w:rPr>
          <w:rFonts w:hint="default" w:ascii="Times New Roman" w:hAnsi="Times New Roman" w:eastAsia="仿宋_GB2312" w:cs="Times New Roman"/>
          <w:color w:val="auto"/>
          <w:sz w:val="32"/>
          <w:szCs w:val="32"/>
          <w:highlight w:val="none"/>
          <w:vertAlign w:val="superscript"/>
        </w:rPr>
        <w:t>[4]</w:t>
      </w:r>
      <w:r>
        <w:rPr>
          <w:rFonts w:hint="default" w:ascii="Times New Roman" w:hAnsi="Times New Roman" w:eastAsia="仿宋_GB2312" w:cs="Times New Roman"/>
          <w:color w:val="auto"/>
          <w:sz w:val="32"/>
          <w:szCs w:val="32"/>
          <w:highlight w:val="none"/>
        </w:rPr>
        <w:t>监管平台开展数据监测，推动集体资产持续增收。本年度镇、村两级集体经济组织总收入约1.72亿元，集体净资产增长3%。拓宽集体资产投资渠道，镇集体企业启动宝佳苑、绿杨家园、绿尚家园42间商铺收购，总投资约8562万元；接收新市镇移交绿杨家园、绿尚家园公建配套约2万平方米。完善农村集体资产租赁管理，完成公开租赁交易28单，成交金额3644.79万元，实现农村集体资产保值增值。完成镇、村两级集体收益分配889.82万元。发放务农农民直补补贴156.05万元，惠及村民1349人。开展农村集体“三资”监管突出问题集中专项整治行动，整改项目类问题3项。持续推进楼下村7队撤制工作，</w:t>
      </w:r>
      <w:r>
        <w:rPr>
          <w:rFonts w:hint="default" w:ascii="Times New Roman" w:hAnsi="Times New Roman" w:eastAsia="仿宋_GB2312" w:cs="Times New Roman"/>
          <w:color w:val="auto"/>
          <w:kern w:val="0"/>
          <w:sz w:val="32"/>
          <w:szCs w:val="32"/>
          <w:highlight w:val="none"/>
          <w:lang w:val="zh-CN"/>
        </w:rPr>
        <w:t>制定</w:t>
      </w:r>
      <w:r>
        <w:rPr>
          <w:rFonts w:hint="default" w:ascii="Times New Roman" w:hAnsi="Times New Roman" w:eastAsia="仿宋_GB2312" w:cs="Times New Roman"/>
          <w:color w:val="auto"/>
          <w:sz w:val="32"/>
          <w:szCs w:val="32"/>
          <w:highlight w:val="none"/>
        </w:rPr>
        <w:t>集体资产变现和剩余农民保障方案，确保规范解决历史遗留问题。</w:t>
      </w:r>
      <w:r>
        <w:rPr>
          <w:rFonts w:hint="default" w:ascii="Times New Roman" w:hAnsi="Times New Roman" w:eastAsia="仿宋_GB2312" w:cs="Times New Roman"/>
          <w:bCs/>
          <w:color w:val="auto"/>
          <w:sz w:val="32"/>
          <w:szCs w:val="32"/>
          <w:highlight w:val="none"/>
        </w:rPr>
        <w:t>完善带征地使用“租税联动”</w:t>
      </w:r>
      <w:r>
        <w:rPr>
          <w:rFonts w:hint="default" w:ascii="Times New Roman" w:hAnsi="Times New Roman" w:eastAsia="仿宋_GB2312" w:cs="Times New Roman"/>
          <w:bCs/>
          <w:color w:val="auto"/>
          <w:sz w:val="32"/>
          <w:szCs w:val="32"/>
          <w:highlight w:val="none"/>
          <w:vertAlign w:val="superscript"/>
        </w:rPr>
        <w:t>[5]</w:t>
      </w:r>
      <w:r>
        <w:rPr>
          <w:rFonts w:hint="default" w:ascii="Times New Roman" w:hAnsi="Times New Roman" w:eastAsia="仿宋_GB2312" w:cs="Times New Roman"/>
          <w:bCs/>
          <w:color w:val="auto"/>
          <w:sz w:val="32"/>
          <w:szCs w:val="32"/>
          <w:highlight w:val="none"/>
        </w:rPr>
        <w:t>和企业准入退出机制，</w:t>
      </w:r>
      <w:r>
        <w:rPr>
          <w:rFonts w:hint="default" w:ascii="Times New Roman" w:hAnsi="Times New Roman" w:eastAsia="仿宋_GB2312" w:cs="Times New Roman"/>
          <w:color w:val="auto"/>
          <w:sz w:val="32"/>
          <w:szCs w:val="32"/>
          <w:highlight w:val="none"/>
        </w:rPr>
        <w:t>与28家单位签订带征地临时使用协议，</w:t>
      </w:r>
      <w:r>
        <w:rPr>
          <w:rFonts w:hint="default" w:ascii="Times New Roman" w:hAnsi="Times New Roman" w:eastAsia="仿宋_GB2312" w:cs="Times New Roman"/>
          <w:bCs/>
          <w:color w:val="auto"/>
          <w:sz w:val="32"/>
          <w:szCs w:val="32"/>
          <w:highlight w:val="none"/>
        </w:rPr>
        <w:t>共收缴租金约4100万元，租金收缴率和土地利用率实现“双提升”。</w:t>
      </w:r>
      <w:r>
        <w:rPr>
          <w:rFonts w:hint="default" w:ascii="Times New Roman" w:hAnsi="Times New Roman" w:eastAsia="仿宋_GB2312" w:cs="Times New Roman"/>
          <w:color w:val="auto"/>
          <w:sz w:val="32"/>
          <w:szCs w:val="32"/>
          <w:highlight w:val="none"/>
        </w:rPr>
        <w:t>全面完成第五次经济普查。</w:t>
      </w:r>
    </w:p>
    <w:p>
      <w:pPr>
        <w:snapToGrid w:val="0"/>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一年来，我们持之以恒推进城镇面貌焕新，区域发展呈现协同共融趋势</w:t>
      </w:r>
      <w:r>
        <w:rPr>
          <w:rFonts w:hint="default" w:ascii="Times New Roman" w:hAnsi="Times New Roman" w:eastAsia="仿宋_GB2312" w:cs="Times New Roman"/>
          <w:b/>
          <w:bCs/>
          <w:color w:val="auto"/>
          <w:sz w:val="32"/>
          <w:szCs w:val="32"/>
          <w:highlight w:val="none"/>
        </w:rPr>
        <w:t>。</w:t>
      </w:r>
    </w:p>
    <w:p>
      <w:pPr>
        <w:snapToGrid w:val="0"/>
        <w:spacing w:line="56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rPr>
        <w:t>规划建设提速加码。</w:t>
      </w:r>
      <w:r>
        <w:rPr>
          <w:rFonts w:hint="default" w:ascii="Times New Roman" w:hAnsi="Times New Roman" w:eastAsia="仿宋_GB2312" w:cs="Times New Roman"/>
          <w:bCs/>
          <w:color w:val="auto"/>
          <w:sz w:val="32"/>
          <w:szCs w:val="32"/>
          <w:highlight w:val="none"/>
        </w:rPr>
        <w:t>坚持以高水平规划引领高质量发展，杨园南镇控制性详细规划完成优化调整，外高桥微电子产业园区等2个土地成片开发方案完成编制，</w:t>
      </w:r>
      <w:r>
        <w:rPr>
          <w:rFonts w:hint="default" w:ascii="Times New Roman" w:hAnsi="Times New Roman" w:eastAsia="仿宋_GB2312" w:cs="Times New Roman"/>
          <w:color w:val="auto"/>
          <w:sz w:val="32"/>
          <w:szCs w:val="32"/>
          <w:highlight w:val="none"/>
        </w:rPr>
        <w:t>完成第三次全国国土调查图册更新。</w:t>
      </w:r>
      <w:r>
        <w:rPr>
          <w:rFonts w:hint="default" w:ascii="Times New Roman" w:hAnsi="Times New Roman" w:eastAsia="仿宋_GB2312" w:cs="Times New Roman"/>
          <w:color w:val="auto"/>
          <w:kern w:val="0"/>
          <w:sz w:val="32"/>
          <w:szCs w:val="32"/>
          <w:highlight w:val="none"/>
        </w:rPr>
        <w:t>按计划、分步骤推进23个土地储备项目</w:t>
      </w:r>
      <w:r>
        <w:rPr>
          <w:rFonts w:hint="default" w:ascii="Times New Roman" w:hAnsi="Times New Roman" w:eastAsia="仿宋_GB2312" w:cs="Times New Roman"/>
          <w:bCs/>
          <w:color w:val="auto"/>
          <w:sz w:val="32"/>
          <w:szCs w:val="32"/>
          <w:highlight w:val="none"/>
        </w:rPr>
        <w:t>，已发布拟征地公告11个、批复立项5个、申请立项7个。全力护航沪通铁路二期、沿江通道、轨交崇明线高宝路站等重大工程建设，积极配合轨交20号线新园路站、合流污水一期等项目开工前期腾地借地。全面推进10个“城中村”点位整治提升和规划拔点，完成2个斑块完整销项，3个斑块局部销项；全年完成6个项目267产居民动迁签约。</w:t>
      </w:r>
      <w:r>
        <w:rPr>
          <w:rFonts w:hint="default" w:ascii="Times New Roman" w:hAnsi="Times New Roman" w:eastAsia="仿宋_GB2312" w:cs="Times New Roman"/>
          <w:color w:val="auto"/>
          <w:sz w:val="32"/>
          <w:szCs w:val="32"/>
          <w:highlight w:val="none"/>
        </w:rPr>
        <w:t>上游村25-5、25-6地块等2处新建绿地、高东规划新开河等2条规划河道、高东新路（浦东运河桥-华东路）等5条园区配套道路新建项目序时推进。</w:t>
      </w:r>
      <w:r>
        <w:rPr>
          <w:rFonts w:hint="default" w:ascii="Times New Roman" w:hAnsi="Times New Roman" w:eastAsia="仿宋_GB2312" w:cs="Times New Roman"/>
          <w:bCs/>
          <w:color w:val="auto"/>
          <w:sz w:val="32"/>
          <w:szCs w:val="32"/>
          <w:highlight w:val="none"/>
        </w:rPr>
        <w:t>光灿路等道路改造提升、新园路园洲路口袋公园建设、园恒路园一路商业街综合景观提升、新高苑社区文化广场改造项目顺利竣工，赵家沟北侧滨河绿地改造项目主体工程完工，存量公共空间实现美丽“蝶变”。</w:t>
      </w:r>
    </w:p>
    <w:p>
      <w:pPr>
        <w:snapToGrid w:val="0"/>
        <w:spacing w:line="56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rPr>
        <w:t>生态本底步步夯实。</w:t>
      </w:r>
      <w:r>
        <w:rPr>
          <w:rFonts w:hint="default" w:ascii="Times New Roman" w:hAnsi="Times New Roman" w:eastAsia="仿宋_GB2312" w:cs="Times New Roman"/>
          <w:bCs/>
          <w:color w:val="auto"/>
          <w:sz w:val="32"/>
          <w:szCs w:val="32"/>
          <w:highlight w:val="none"/>
        </w:rPr>
        <w:t>坚持走绿色发展道路，从严从实抓好各级环保督察“后半篇文章”，持续巩固5件中央生态环保督察组交办件、84项区委生态环保督察组反馈问题整改成效。推进97个长江入河排污口点位溯源整治，整改销项率100%。开展全镇雨污混接普查工作，完成22个分区、1100户达标验收。发挥“环保管家”</w:t>
      </w:r>
      <w:r>
        <w:rPr>
          <w:rFonts w:hint="default" w:ascii="Times New Roman" w:hAnsi="Times New Roman" w:eastAsia="仿宋_GB2312" w:cs="Times New Roman"/>
          <w:bCs/>
          <w:color w:val="auto"/>
          <w:sz w:val="32"/>
          <w:szCs w:val="32"/>
          <w:highlight w:val="none"/>
          <w:vertAlign w:val="superscript"/>
        </w:rPr>
        <w:t>[6]</w:t>
      </w:r>
      <w:r>
        <w:rPr>
          <w:rFonts w:hint="default" w:ascii="Times New Roman" w:hAnsi="Times New Roman" w:eastAsia="仿宋_GB2312" w:cs="Times New Roman"/>
          <w:bCs/>
          <w:color w:val="auto"/>
          <w:sz w:val="32"/>
          <w:szCs w:val="32"/>
          <w:highlight w:val="none"/>
        </w:rPr>
        <w:t>监督实效，聚焦辖区内584家企业、324家餐饮单位，落实污染源常态化防治和“回头看”督察。一体推进“河长制”“林长制”“路长制”，20条“759考核断面”</w:t>
      </w:r>
      <w:r>
        <w:rPr>
          <w:rFonts w:hint="default" w:ascii="Times New Roman" w:hAnsi="Times New Roman" w:eastAsia="仿宋_GB2312" w:cs="Times New Roman"/>
          <w:bCs/>
          <w:color w:val="auto"/>
          <w:sz w:val="32"/>
          <w:szCs w:val="32"/>
          <w:highlight w:val="none"/>
          <w:vertAlign w:val="superscript"/>
        </w:rPr>
        <w:t>[7]</w:t>
      </w:r>
      <w:r>
        <w:rPr>
          <w:rFonts w:hint="default" w:ascii="Times New Roman" w:hAnsi="Times New Roman" w:eastAsia="仿宋_GB2312" w:cs="Times New Roman"/>
          <w:bCs/>
          <w:color w:val="auto"/>
          <w:sz w:val="32"/>
          <w:szCs w:val="32"/>
          <w:highlight w:val="none"/>
        </w:rPr>
        <w:t>河道水质优良率达90%，无“三查三访”及预警断面，新高苑三期新开河申报星级河道创建；助推海徐路公园、孝亲公园、赵家沟秀林公园等环上公园</w:t>
      </w:r>
      <w:r>
        <w:rPr>
          <w:rFonts w:hint="default" w:ascii="Times New Roman" w:hAnsi="Times New Roman" w:eastAsia="仿宋_GB2312" w:cs="Times New Roman"/>
          <w:bCs/>
          <w:color w:val="auto"/>
          <w:sz w:val="32"/>
          <w:szCs w:val="32"/>
          <w:highlight w:val="none"/>
          <w:vertAlign w:val="superscript"/>
        </w:rPr>
        <w:t>[8]</w:t>
      </w:r>
      <w:r>
        <w:rPr>
          <w:rFonts w:hint="default" w:ascii="Times New Roman" w:hAnsi="Times New Roman" w:eastAsia="仿宋_GB2312" w:cs="Times New Roman"/>
          <w:bCs/>
          <w:color w:val="auto"/>
          <w:sz w:val="32"/>
          <w:szCs w:val="32"/>
          <w:highlight w:val="none"/>
        </w:rPr>
        <w:t>建设，动态</w:t>
      </w:r>
      <w:r>
        <w:rPr>
          <w:rFonts w:hint="default" w:ascii="Times New Roman" w:hAnsi="Times New Roman" w:eastAsia="仿宋_GB2312" w:cs="Times New Roman"/>
          <w:color w:val="auto"/>
          <w:sz w:val="32"/>
          <w:szCs w:val="32"/>
          <w:highlight w:val="none"/>
        </w:rPr>
        <w:t>更新林绿资源权属“一张图”；落实镇管排水设施CCTV检测，</w:t>
      </w:r>
      <w:r>
        <w:rPr>
          <w:rFonts w:hint="default" w:ascii="Times New Roman" w:hAnsi="Times New Roman" w:eastAsia="仿宋_GB2312" w:cs="Times New Roman"/>
          <w:bCs/>
          <w:color w:val="auto"/>
          <w:sz w:val="32"/>
          <w:szCs w:val="32"/>
          <w:highlight w:val="none"/>
        </w:rPr>
        <w:t>疏通雨污水管道约88公里，积极创建“四好农村路”</w:t>
      </w:r>
      <w:r>
        <w:rPr>
          <w:rFonts w:hint="default" w:ascii="Times New Roman" w:hAnsi="Times New Roman" w:eastAsia="仿宋_GB2312" w:cs="Times New Roman"/>
          <w:bCs/>
          <w:color w:val="auto"/>
          <w:sz w:val="32"/>
          <w:szCs w:val="32"/>
          <w:highlight w:val="none"/>
          <w:vertAlign w:val="superscript"/>
        </w:rPr>
        <w:t>[9]</w:t>
      </w:r>
      <w:r>
        <w:rPr>
          <w:rFonts w:hint="default" w:ascii="Times New Roman" w:hAnsi="Times New Roman" w:eastAsia="仿宋_GB2312" w:cs="Times New Roman"/>
          <w:bCs/>
          <w:color w:val="auto"/>
          <w:sz w:val="32"/>
          <w:szCs w:val="32"/>
          <w:highlight w:val="none"/>
        </w:rPr>
        <w:t>。推行环卫作业市场化、设施现代化、服务人性化，干湿垃圾100%纳入资源化处理体系。</w:t>
      </w:r>
    </w:p>
    <w:p>
      <w:pPr>
        <w:snapToGrid w:val="0"/>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乡村振兴巩固提升。</w:t>
      </w:r>
      <w:r>
        <w:rPr>
          <w:rFonts w:hint="default" w:ascii="Times New Roman" w:hAnsi="Times New Roman" w:eastAsia="仿宋_GB2312" w:cs="Times New Roman"/>
          <w:color w:val="auto"/>
          <w:sz w:val="32"/>
          <w:szCs w:val="32"/>
          <w:highlight w:val="none"/>
        </w:rPr>
        <w:t>运用“千村示范、万村整治”工程</w:t>
      </w:r>
      <w:r>
        <w:rPr>
          <w:rFonts w:hint="default" w:ascii="Times New Roman" w:hAnsi="Times New Roman" w:eastAsia="仿宋_GB2312" w:cs="Times New Roman"/>
          <w:color w:val="auto"/>
          <w:sz w:val="32"/>
          <w:szCs w:val="32"/>
          <w:highlight w:val="none"/>
          <w:vertAlign w:val="superscript"/>
        </w:rPr>
        <w:t>[10]</w:t>
      </w:r>
      <w:r>
        <w:rPr>
          <w:rFonts w:hint="default" w:ascii="Times New Roman" w:hAnsi="Times New Roman" w:eastAsia="仿宋_GB2312" w:cs="Times New Roman"/>
          <w:color w:val="auto"/>
          <w:sz w:val="32"/>
          <w:szCs w:val="32"/>
          <w:highlight w:val="none"/>
        </w:rPr>
        <w:t>经验，</w:t>
      </w:r>
      <w:r>
        <w:rPr>
          <w:rFonts w:hint="default" w:ascii="Times New Roman" w:hAnsi="Times New Roman" w:eastAsia="仿宋_GB2312" w:cs="Times New Roman"/>
          <w:bCs/>
          <w:color w:val="auto"/>
          <w:sz w:val="32"/>
          <w:szCs w:val="32"/>
          <w:highlight w:val="none"/>
        </w:rPr>
        <w:t>制定《关于做好2024年度高东镇全面推进乡村振兴重点工作的实施方案》《高东镇全域和美乡村建设三年计划》及配套任务清单，推动乡村振兴任务保质保量完成，村容村貌实实在在提升。落实区、镇、村三级农村环境巡查问题整治工作，累计整改各类农村环境问题8329项，整改完成率100%。每月开展村庄清洁行动，清除村域垃圾456吨、宅前屋后乱堆物2046处、乱张贴2638处。乡村治理积分制实现村域全覆盖，有机融入电动自行车充电整治等重点工作，逐步成为乡村治理有效抓手。农村生活垃圾无害化处理率和湿垃圾资源化利用率均达100%，有力促进农业可持续发展。</w:t>
      </w:r>
      <w:r>
        <w:rPr>
          <w:rFonts w:hint="default" w:ascii="Times New Roman" w:hAnsi="Times New Roman" w:eastAsia="仿宋_GB2312" w:cs="Times New Roman"/>
          <w:color w:val="auto"/>
          <w:sz w:val="32"/>
          <w:szCs w:val="32"/>
          <w:highlight w:val="none"/>
        </w:rPr>
        <w:t>完成812亩农村土地流转，切实保障流转土地的农民收益。开展困难农户信息核实和精准帮扶，为27户困难农户购买家庭保险。提高农村医疗服务水平，扩大村卫生室药房面积，增加医保药品品种，提高全科医生驻村诊疗频次。有序开展农业生产，</w:t>
      </w:r>
      <w:r>
        <w:rPr>
          <w:rFonts w:hint="default" w:ascii="Times New Roman" w:hAnsi="Times New Roman" w:eastAsia="仿宋_GB2312" w:cs="Times New Roman"/>
          <w:bCs/>
          <w:color w:val="auto"/>
          <w:sz w:val="32"/>
          <w:szCs w:val="32"/>
          <w:highlight w:val="none"/>
        </w:rPr>
        <w:t>完成98亩蔬菜种植、301亩次蔬菜播种和457吨蔬菜上市，有效</w:t>
      </w:r>
      <w:r>
        <w:rPr>
          <w:rFonts w:hint="default" w:ascii="Times New Roman" w:hAnsi="Times New Roman" w:eastAsia="仿宋_GB2312" w:cs="Times New Roman"/>
          <w:color w:val="auto"/>
          <w:sz w:val="32"/>
          <w:szCs w:val="32"/>
          <w:highlight w:val="none"/>
        </w:rPr>
        <w:t>遏制耕地“非农化”</w:t>
      </w:r>
      <w:r>
        <w:rPr>
          <w:rFonts w:hint="default" w:ascii="Times New Roman" w:hAnsi="Times New Roman" w:eastAsia="仿宋_GB2312" w:cs="Times New Roman"/>
          <w:color w:val="auto"/>
          <w:sz w:val="32"/>
          <w:szCs w:val="32"/>
          <w:highlight w:val="none"/>
          <w:vertAlign w:val="superscript"/>
        </w:rPr>
        <w:t>[11]</w:t>
      </w:r>
      <w:r>
        <w:rPr>
          <w:rFonts w:hint="default" w:ascii="Times New Roman" w:hAnsi="Times New Roman" w:eastAsia="仿宋_GB2312" w:cs="Times New Roman"/>
          <w:color w:val="auto"/>
          <w:sz w:val="32"/>
          <w:szCs w:val="32"/>
          <w:highlight w:val="none"/>
        </w:rPr>
        <w:t>、防止耕地“非粮化”</w:t>
      </w:r>
      <w:r>
        <w:rPr>
          <w:rFonts w:hint="default" w:ascii="Times New Roman" w:hAnsi="Times New Roman" w:eastAsia="仿宋_GB2312" w:cs="Times New Roman"/>
          <w:color w:val="auto"/>
          <w:sz w:val="32"/>
          <w:szCs w:val="32"/>
          <w:highlight w:val="none"/>
          <w:vertAlign w:val="superscript"/>
        </w:rPr>
        <w:t>[12]</w:t>
      </w:r>
      <w:r>
        <w:rPr>
          <w:rFonts w:hint="default" w:ascii="Times New Roman" w:hAnsi="Times New Roman" w:eastAsia="仿宋_GB2312" w:cs="Times New Roman"/>
          <w:bCs/>
          <w:color w:val="auto"/>
          <w:sz w:val="32"/>
          <w:szCs w:val="32"/>
          <w:highlight w:val="none"/>
        </w:rPr>
        <w:t>。持续打造本土特色农业品牌，</w:t>
      </w:r>
      <w:r>
        <w:rPr>
          <w:rFonts w:hint="default" w:ascii="Times New Roman" w:hAnsi="Times New Roman" w:eastAsia="仿宋_GB2312" w:cs="Times New Roman"/>
          <w:color w:val="auto"/>
          <w:sz w:val="32"/>
          <w:szCs w:val="32"/>
          <w:highlight w:val="none"/>
        </w:rPr>
        <w:t>“高东源”草莓、小番茄等</w:t>
      </w:r>
      <w:r>
        <w:rPr>
          <w:rFonts w:hint="default" w:ascii="Times New Roman" w:hAnsi="Times New Roman" w:eastAsia="仿宋_GB2312" w:cs="Times New Roman"/>
          <w:bCs/>
          <w:color w:val="auto"/>
          <w:sz w:val="32"/>
          <w:szCs w:val="32"/>
          <w:highlight w:val="none"/>
        </w:rPr>
        <w:t>优质农产品总产量达200吨，年销售额350万元，同比增长16.5％。</w:t>
      </w:r>
    </w:p>
    <w:p>
      <w:pPr>
        <w:snapToGrid w:val="0"/>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一年来，我们用心用情兜牢民生保障底线，公共服务取得普惠共享成果</w:t>
      </w:r>
      <w:r>
        <w:rPr>
          <w:rFonts w:hint="default" w:ascii="Times New Roman" w:hAnsi="Times New Roman" w:eastAsia="仿宋_GB2312" w:cs="Times New Roman"/>
          <w:b/>
          <w:bCs/>
          <w:color w:val="auto"/>
          <w:sz w:val="32"/>
          <w:szCs w:val="32"/>
          <w:highlight w:val="none"/>
        </w:rPr>
        <w:t>。</w:t>
      </w:r>
    </w:p>
    <w:p>
      <w:pPr>
        <w:pStyle w:val="14"/>
        <w:spacing w:line="560" w:lineRule="exact"/>
        <w:ind w:firstLine="643"/>
        <w:rPr>
          <w:rFonts w:hint="default" w:ascii="Times New Roman" w:hAnsi="Times New Roman" w:cs="Times New Roman"/>
          <w:bCs/>
          <w:color w:val="auto"/>
          <w:kern w:val="2"/>
          <w:highlight w:val="none"/>
        </w:rPr>
      </w:pPr>
      <w:r>
        <w:rPr>
          <w:rFonts w:hint="default" w:ascii="Times New Roman" w:hAnsi="Times New Roman" w:cs="Times New Roman"/>
          <w:b/>
          <w:bCs/>
          <w:color w:val="auto"/>
          <w:kern w:val="2"/>
          <w:highlight w:val="none"/>
        </w:rPr>
        <w:t>民生保障更有力度。</w:t>
      </w:r>
      <w:r>
        <w:rPr>
          <w:rFonts w:hint="default" w:ascii="Times New Roman" w:hAnsi="Times New Roman" w:cs="Times New Roman"/>
          <w:color w:val="auto"/>
          <w:kern w:val="2"/>
          <w:highlight w:val="none"/>
        </w:rPr>
        <w:t>持续推动“15分钟就业服务圈”</w:t>
      </w:r>
      <w:r>
        <w:rPr>
          <w:rFonts w:hint="default" w:ascii="Times New Roman" w:hAnsi="Times New Roman" w:cs="Times New Roman"/>
          <w:color w:val="auto"/>
          <w:kern w:val="2"/>
          <w:highlight w:val="none"/>
          <w:vertAlign w:val="superscript"/>
        </w:rPr>
        <w:t>[13]</w:t>
      </w:r>
      <w:r>
        <w:rPr>
          <w:rFonts w:hint="default" w:ascii="Times New Roman" w:hAnsi="Times New Roman" w:cs="Times New Roman"/>
          <w:color w:val="auto"/>
          <w:kern w:val="2"/>
          <w:highlight w:val="none"/>
        </w:rPr>
        <w:t>建设，健全“1个中心+2个站点+26个居村”基层协同就业服务体系，为居民提供“家门口”的就业服务。围绕“稳岗位、扩就业、提技能、帮创业”出实招，举办春风行动等专场招聘会24次，创业孵化实验基地、“樱花河畔”创客厅等平台为60家企业提供创业帮扶解决实际困难，用好镇级促进就业专项资金，帮助长期失业青年就业创业48人、失业人员实现再就业384人、就业困难人员实现就业141人。全面落实各项救助帮扶措施，累计救助各类困难群体2.02万人次，发放救助资金1428.38万元。浦东新区劳动人事争议联合调解中心高东分中心有序运转，成功调解劳资纠纷270起</w:t>
      </w:r>
      <w:r>
        <w:rPr>
          <w:rFonts w:hint="default" w:ascii="Times New Roman" w:hAnsi="Times New Roman" w:cs="Times New Roman"/>
          <w:color w:val="auto"/>
          <w:highlight w:val="none"/>
        </w:rPr>
        <w:t>。倾力举办2024年“慈善公益联合捐”活动，共募集善款409.7万元。优化退役军人服务保障，线上办理“退役军人一件事”，为退役军人提供信息采集及优待证办理1476人次，处置退役军人民生事项</w:t>
      </w:r>
      <w:r>
        <w:rPr>
          <w:rFonts w:hint="default" w:ascii="Times New Roman" w:hAnsi="Times New Roman" w:cs="Times New Roman"/>
          <w:color w:val="auto"/>
          <w:spacing w:val="-4"/>
          <w:highlight w:val="none"/>
        </w:rPr>
        <w:t>1300</w:t>
      </w:r>
      <w:r>
        <w:rPr>
          <w:rFonts w:hint="default" w:ascii="Times New Roman" w:hAnsi="Times New Roman" w:cs="Times New Roman"/>
          <w:color w:val="auto"/>
          <w:highlight w:val="none"/>
        </w:rPr>
        <w:t>余件；“浦东新区戎爱门球活动园”正式开园，组建退役军人、军嫂门球队，组织退役军人团队赴黑龙江等地参加门球赛事并取得优异成绩。着力将浦商邻里荟高东店、兴村店打造成集“生鲜+互联网+物流配送网”为一体的示范性、标准化菜市场，与益海嘉里达成粮油保供合作意向，托稳居民的“菜篮子”“米袋子”。</w:t>
      </w:r>
    </w:p>
    <w:p>
      <w:pPr>
        <w:pStyle w:val="14"/>
        <w:spacing w:line="560" w:lineRule="exact"/>
        <w:ind w:firstLine="643"/>
        <w:rPr>
          <w:rFonts w:hint="default" w:ascii="Times New Roman" w:hAnsi="Times New Roman" w:cs="Times New Roman"/>
          <w:color w:val="auto"/>
          <w:highlight w:val="none"/>
        </w:rPr>
      </w:pPr>
      <w:r>
        <w:rPr>
          <w:rFonts w:hint="default" w:ascii="Times New Roman" w:hAnsi="Times New Roman" w:cs="Times New Roman"/>
          <w:b/>
          <w:bCs/>
          <w:color w:val="auto"/>
          <w:kern w:val="2"/>
          <w:highlight w:val="none"/>
        </w:rPr>
        <w:t>公共服务更富温度。</w:t>
      </w:r>
      <w:r>
        <w:rPr>
          <w:rFonts w:hint="default" w:ascii="Times New Roman" w:hAnsi="Times New Roman" w:cs="Times New Roman"/>
          <w:bCs/>
          <w:color w:val="auto"/>
          <w:kern w:val="2"/>
          <w:highlight w:val="none"/>
        </w:rPr>
        <w:t>持续推进全龄友好型社区建设，</w:t>
      </w:r>
      <w:r>
        <w:rPr>
          <w:rFonts w:hint="default" w:ascii="Times New Roman" w:hAnsi="Times New Roman" w:cs="Times New Roman"/>
          <w:color w:val="auto"/>
          <w:highlight w:val="none"/>
        </w:rPr>
        <w:t>综合为老服务中心、</w:t>
      </w:r>
      <w:r>
        <w:rPr>
          <w:rFonts w:hint="default" w:ascii="Times New Roman" w:hAnsi="Times New Roman" w:cs="Times New Roman"/>
          <w:bCs/>
          <w:color w:val="auto"/>
          <w:kern w:val="2"/>
          <w:highlight w:val="none"/>
        </w:rPr>
        <w:t>社区长者食堂等机构高效运转，高东新村综合为老服务中心获评2024年浦东新区优秀综合为老服务中心。</w:t>
      </w:r>
      <w:r>
        <w:rPr>
          <w:rFonts w:hint="default" w:ascii="Times New Roman" w:hAnsi="Times New Roman" w:cs="Times New Roman"/>
          <w:color w:val="auto"/>
          <w:highlight w:val="none"/>
        </w:rPr>
        <w:t>搭建“1+1+27+X”社区教育办学网络</w:t>
      </w:r>
      <w:r>
        <w:rPr>
          <w:rFonts w:hint="default" w:ascii="Times New Roman" w:hAnsi="Times New Roman" w:cs="Times New Roman"/>
          <w:color w:val="auto"/>
          <w:highlight w:val="none"/>
          <w:vertAlign w:val="superscript"/>
        </w:rPr>
        <w:t>[14]</w:t>
      </w:r>
      <w:r>
        <w:rPr>
          <w:rFonts w:hint="default" w:ascii="Times New Roman" w:hAnsi="Times New Roman" w:cs="Times New Roman"/>
          <w:color w:val="auto"/>
          <w:highlight w:val="none"/>
        </w:rPr>
        <w:t>，高东镇社区学校成功创评2024年上海市街镇社区（老年）学校优质校。完成36户特殊困难老年人家庭适老化改造和10户困难残疾人家庭无障碍设施改造。</w:t>
      </w:r>
      <w:r>
        <w:rPr>
          <w:rFonts w:hint="default" w:ascii="Times New Roman" w:hAnsi="Times New Roman" w:cs="Times New Roman"/>
          <w:bCs/>
          <w:color w:val="auto"/>
          <w:highlight w:val="none"/>
        </w:rPr>
        <w:t>组织约1.1万名老年人参加公益体检，妇科普查参检人数达4352人；组织180名残疾人进行健康体检。</w:t>
      </w:r>
      <w:r>
        <w:rPr>
          <w:rFonts w:hint="default" w:ascii="Times New Roman" w:hAnsi="Times New Roman" w:cs="Times New Roman"/>
          <w:bCs/>
          <w:color w:val="auto"/>
          <w:kern w:val="2"/>
          <w:highlight w:val="none"/>
        </w:rPr>
        <w:t>壮大“育见高东新未来”家校社共育联盟，</w:t>
      </w:r>
      <w:r>
        <w:rPr>
          <w:rFonts w:hint="default" w:ascii="Times New Roman" w:hAnsi="Times New Roman" w:cs="Times New Roman"/>
          <w:color w:val="auto"/>
          <w:highlight w:val="none"/>
        </w:rPr>
        <w:t>挖掘10处优质校外实践基地，推动门球、华拳等特色项目进校园。打造</w:t>
      </w:r>
      <w:r>
        <w:rPr>
          <w:rFonts w:hint="default" w:ascii="Times New Roman" w:hAnsi="Times New Roman" w:cs="Times New Roman"/>
          <w:bCs/>
          <w:color w:val="auto"/>
          <w:kern w:val="2"/>
          <w:highlight w:val="none"/>
        </w:rPr>
        <w:t>“四叶草”科普品牌2.0系列，</w:t>
      </w:r>
      <w:r>
        <w:rPr>
          <w:rFonts w:hint="default" w:ascii="Times New Roman" w:hAnsi="Times New Roman" w:cs="Times New Roman"/>
          <w:color w:val="auto"/>
          <w:kern w:val="2"/>
          <w:highlight w:val="none"/>
        </w:rPr>
        <w:t>推出“科学工匠进课堂”等五大科普项目。</w:t>
      </w:r>
      <w:r>
        <w:rPr>
          <w:rFonts w:hint="default" w:ascii="Times New Roman" w:hAnsi="Times New Roman" w:cs="Times New Roman"/>
          <w:bCs/>
          <w:color w:val="auto"/>
          <w:highlight w:val="none"/>
        </w:rPr>
        <w:t>高东新村社区“宝宝屋”</w:t>
      </w:r>
      <w:r>
        <w:rPr>
          <w:rFonts w:hint="default" w:ascii="Times New Roman" w:hAnsi="Times New Roman" w:cs="Times New Roman"/>
          <w:bCs/>
          <w:color w:val="auto"/>
          <w:highlight w:val="none"/>
          <w:vertAlign w:val="superscript"/>
        </w:rPr>
        <w:t>[15]</w:t>
      </w:r>
      <w:r>
        <w:rPr>
          <w:rFonts w:hint="default" w:ascii="Times New Roman" w:hAnsi="Times New Roman" w:cs="Times New Roman"/>
          <w:bCs/>
          <w:color w:val="auto"/>
          <w:highlight w:val="none"/>
        </w:rPr>
        <w:t>共举办亲子早教活动118场，联合高东幼儿园等3所幼儿园举办科学育儿指导活动50场；新建欣杨景苑社区“宝宝屋”。</w:t>
      </w:r>
      <w:r>
        <w:rPr>
          <w:rFonts w:hint="default" w:ascii="Times New Roman" w:hAnsi="Times New Roman" w:cs="Times New Roman"/>
          <w:color w:val="auto"/>
          <w:highlight w:val="none"/>
        </w:rPr>
        <w:t>积极开办爱心寒暑托班，累计向社会提供280个托位。</w:t>
      </w:r>
      <w:r>
        <w:rPr>
          <w:rFonts w:hint="default" w:ascii="Times New Roman" w:hAnsi="Times New Roman" w:cs="Times New Roman"/>
          <w:bCs/>
          <w:color w:val="auto"/>
          <w:highlight w:val="none"/>
        </w:rPr>
        <w:t>高东社区卫生服务中心成功创建上海市社区示范康复中心。开展流动儿童专项排摸，3026名儿童信息录入全国儿童福利信息系统。</w:t>
      </w:r>
      <w:r>
        <w:rPr>
          <w:rFonts w:hint="default" w:ascii="Times New Roman" w:hAnsi="Times New Roman" w:cs="Times New Roman"/>
          <w:color w:val="auto"/>
          <w:highlight w:val="none"/>
        </w:rPr>
        <w:t>帮助2名成年孤儿回归社会，妥善解决落户、住房、工作等问题。通过“扩容+共享”模式挖潜释放政府资源，</w:t>
      </w:r>
      <w:r>
        <w:rPr>
          <w:rFonts w:hint="default" w:ascii="Times New Roman" w:hAnsi="Times New Roman" w:cs="Times New Roman"/>
          <w:bCs/>
          <w:color w:val="auto"/>
          <w:highlight w:val="none"/>
        </w:rPr>
        <w:t>开放60个“潮汐式”停车位和31个新能源充电桩，有效缓解周边社区居民停车难充电难问题。</w:t>
      </w:r>
    </w:p>
    <w:p>
      <w:pPr>
        <w:pStyle w:val="14"/>
        <w:spacing w:line="560" w:lineRule="exact"/>
        <w:ind w:firstLine="643"/>
        <w:rPr>
          <w:rFonts w:hint="default" w:ascii="Times New Roman" w:hAnsi="Times New Roman" w:cs="Times New Roman"/>
          <w:bCs/>
          <w:color w:val="auto"/>
          <w:kern w:val="2"/>
          <w:highlight w:val="none"/>
        </w:rPr>
      </w:pPr>
      <w:r>
        <w:rPr>
          <w:rFonts w:hint="default" w:ascii="Times New Roman" w:hAnsi="Times New Roman" w:cs="Times New Roman"/>
          <w:b/>
          <w:bCs/>
          <w:color w:val="auto"/>
          <w:kern w:val="2"/>
          <w:highlight w:val="none"/>
        </w:rPr>
        <w:t>群文生活更具广度。</w:t>
      </w:r>
      <w:r>
        <w:rPr>
          <w:rFonts w:hint="default" w:ascii="Times New Roman" w:hAnsi="Times New Roman" w:cs="Times New Roman"/>
          <w:bCs/>
          <w:color w:val="auto"/>
          <w:kern w:val="2"/>
          <w:highlight w:val="none"/>
        </w:rPr>
        <w:t>全面提升“高东樱花节”品牌影响力，倾力打造“游、购、吃、住、行”五大板块特色文旅项目，吸引游客超15万人次。</w:t>
      </w:r>
      <w:r>
        <w:rPr>
          <w:rFonts w:hint="default" w:ascii="Times New Roman" w:hAnsi="Times New Roman" w:cs="Times New Roman"/>
          <w:color w:val="auto"/>
          <w:highlight w:val="none"/>
        </w:rPr>
        <w:t>推动门球事业向“全生命周期运动”蓬勃发展，持续焕新高东门球场地，组织高东门球队参加各级别赛事22次，荣获亚洲门球荣誉1项、国家级荣誉3项、市级荣誉14项、区级荣誉4项。成功举办我要上全运“高东杯”2024年中国门球冠军赛总决赛、上海市第九套广播体操社区选拔赛、2024年上海市学生阳光体育大联赛棒球比赛等各类赛事百余场，不断丰富体育赛事举办经验。着力破解文化惠民“时间差”，开设中医养生、瑜伽形体等20余个优质低价的延时服务班，激活</w:t>
      </w:r>
      <w:r>
        <w:rPr>
          <w:rStyle w:val="9"/>
          <w:rFonts w:hint="default" w:ascii="Times New Roman" w:hAnsi="Times New Roman" w:cs="Times New Roman"/>
          <w:b w:val="0"/>
          <w:color w:val="auto"/>
          <w:highlight w:val="none"/>
        </w:rPr>
        <w:t>群众文化充电</w:t>
      </w:r>
      <w:r>
        <w:rPr>
          <w:rFonts w:hint="default" w:ascii="Times New Roman" w:hAnsi="Times New Roman" w:cs="Times New Roman"/>
          <w:color w:val="auto"/>
          <w:highlight w:val="none"/>
        </w:rPr>
        <w:t>“黄金三小时”，最大限度释放公共文化设施服务效能。积极响应上海“打造100个儿童友好城市阅读新空间”总体目标，建立高东镇儿童友好城市阅读新空间，累计举办13场亲子阅读活动。推送电影、演出、展览等各类文化活动260余场，累计吸引10万余人次现场观摩，努力让居民在“家门口”乐享文化大餐。高东镇非遗文化品牌“华拳”成功升级为上海市非遗保护传承项目。</w:t>
      </w:r>
    </w:p>
    <w:p>
      <w:pPr>
        <w:snapToGrid w:val="0"/>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一年来，我们聚智聚力激发社会治理动能，城市管理保持安全有序局面</w:t>
      </w:r>
      <w:r>
        <w:rPr>
          <w:rFonts w:hint="default" w:ascii="Times New Roman" w:hAnsi="Times New Roman" w:eastAsia="仿宋_GB2312" w:cs="Times New Roman"/>
          <w:b/>
          <w:bCs/>
          <w:color w:val="auto"/>
          <w:sz w:val="32"/>
          <w:szCs w:val="32"/>
          <w:highlight w:val="none"/>
        </w:rPr>
        <w:t>。</w:t>
      </w:r>
    </w:p>
    <w:p>
      <w:pPr>
        <w:snapToGrid w:val="0"/>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平安建设齐抓共管。</w:t>
      </w:r>
      <w:r>
        <w:rPr>
          <w:rFonts w:hint="default" w:ascii="Times New Roman" w:hAnsi="Times New Roman" w:eastAsia="仿宋_GB2312" w:cs="Times New Roman"/>
          <w:color w:val="auto"/>
          <w:sz w:val="32"/>
          <w:szCs w:val="32"/>
          <w:highlight w:val="none"/>
        </w:rPr>
        <w:t>压紧压实安全生产“三管三必须”</w:t>
      </w:r>
      <w:r>
        <w:rPr>
          <w:rFonts w:hint="default" w:ascii="Times New Roman" w:hAnsi="Times New Roman" w:eastAsia="仿宋_GB2312" w:cs="Times New Roman"/>
          <w:color w:val="auto"/>
          <w:sz w:val="32"/>
          <w:szCs w:val="32"/>
          <w:highlight w:val="none"/>
          <w:vertAlign w:val="superscript"/>
        </w:rPr>
        <w:t>[16]</w:t>
      </w:r>
      <w:r>
        <w:rPr>
          <w:rFonts w:hint="default" w:ascii="Times New Roman" w:hAnsi="Times New Roman" w:eastAsia="仿宋_GB2312" w:cs="Times New Roman"/>
          <w:color w:val="auto"/>
          <w:sz w:val="32"/>
          <w:szCs w:val="32"/>
          <w:highlight w:val="none"/>
        </w:rPr>
        <w:t>主体责任，深入开展安全生产治本攻坚行动，累计整改消防、燃气、电动自行车等重点领域安全隐患1819项，立案11起，处罚金额5.6万元。持续健全基层消防救援体系，竞赛村一级微型消防站及扬盛佳苑等3个小区地下非机动车库消防设施改造项目竣工，383个小区地面非机动车库实现防火分隔设施、水基型灭火器全覆盖，各居民区安装电动自行车充电口约1.6万个。推进燃气安全专项整治，完成454户非居民用户瓶装液化气替代改造任务。深化落实食品安全属地包保责任，对598家食品经营单位开展综合评估。持续加强社会治安综合治理，报警类警情较去年同期略有下降，未出现涉黑涉恶案件。高东镇反诈中心有序运行，电信诈骗发案量同比下降12.3%，案损值同比下降33.9%，成功劝阻受骗1341人次，同比下降48.1%。抓好实有人口和境外人员信息“来登去销”，实有人口登记准确率达98%，境外人员采集准确率近100%。强化纠纷调解“三所联动”</w:t>
      </w:r>
      <w:r>
        <w:rPr>
          <w:rFonts w:hint="default" w:ascii="Times New Roman" w:hAnsi="Times New Roman" w:eastAsia="仿宋_GB2312" w:cs="Times New Roman"/>
          <w:color w:val="auto"/>
          <w:sz w:val="32"/>
          <w:szCs w:val="32"/>
          <w:highlight w:val="none"/>
          <w:vertAlign w:val="superscript"/>
        </w:rPr>
        <w:t>[17]</w:t>
      </w:r>
      <w:r>
        <w:rPr>
          <w:rFonts w:hint="default" w:ascii="Times New Roman" w:hAnsi="Times New Roman" w:eastAsia="仿宋_GB2312" w:cs="Times New Roman"/>
          <w:color w:val="auto"/>
          <w:sz w:val="32"/>
          <w:szCs w:val="32"/>
          <w:highlight w:val="none"/>
        </w:rPr>
        <w:t>，成功调解案件343件，调解成功率达98.7%。积极抵御第13号台风“贝碧嘉”、第14号台风“普拉桑”、第21号台风“康妮”，共处置突发事件80余起，转移安置706人。规范办理各类信访事项88件，圆满完成全国两会、二十届三中全会及第七届进博会等重要节点的社会维稳工作。</w:t>
      </w:r>
    </w:p>
    <w:p>
      <w:pPr>
        <w:snapToGrid w:val="0"/>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城市管理平稳有序。</w:t>
      </w:r>
      <w:r>
        <w:rPr>
          <w:rFonts w:hint="default" w:ascii="Times New Roman" w:hAnsi="Times New Roman" w:eastAsia="仿宋_GB2312" w:cs="Times New Roman"/>
          <w:color w:val="auto"/>
          <w:sz w:val="32"/>
          <w:szCs w:val="32"/>
          <w:highlight w:val="none"/>
        </w:rPr>
        <w:t>“一网统管”</w:t>
      </w:r>
      <w:r>
        <w:rPr>
          <w:rFonts w:hint="default" w:ascii="Times New Roman" w:hAnsi="Times New Roman" w:eastAsia="仿宋_GB2312" w:cs="Times New Roman"/>
          <w:color w:val="auto"/>
          <w:sz w:val="32"/>
          <w:szCs w:val="32"/>
          <w:highlight w:val="none"/>
          <w:vertAlign w:val="superscript"/>
        </w:rPr>
        <w:t>[18]</w:t>
      </w:r>
      <w:r>
        <w:rPr>
          <w:rFonts w:hint="default" w:ascii="Times New Roman" w:hAnsi="Times New Roman" w:eastAsia="仿宋_GB2312" w:cs="Times New Roman"/>
          <w:color w:val="auto"/>
          <w:sz w:val="32"/>
          <w:szCs w:val="32"/>
          <w:highlight w:val="none"/>
        </w:rPr>
        <w:t>体系高效运转，累计办理市民热线工单3445件、网格类工单3.4万件，按时办结率100%。坚持“去存量、控新增”和“拆建管美用”一体化原则，深入开展“五违四必”</w:t>
      </w:r>
      <w:r>
        <w:rPr>
          <w:rFonts w:hint="default" w:ascii="Times New Roman" w:hAnsi="Times New Roman" w:eastAsia="仿宋_GB2312" w:cs="Times New Roman"/>
          <w:color w:val="auto"/>
          <w:sz w:val="32"/>
          <w:szCs w:val="32"/>
          <w:highlight w:val="none"/>
          <w:vertAlign w:val="superscript"/>
        </w:rPr>
        <w:t>[19]</w:t>
      </w:r>
      <w:r>
        <w:rPr>
          <w:rFonts w:hint="default" w:ascii="Times New Roman" w:hAnsi="Times New Roman" w:eastAsia="仿宋_GB2312" w:cs="Times New Roman"/>
          <w:color w:val="auto"/>
          <w:sz w:val="32"/>
          <w:szCs w:val="32"/>
          <w:highlight w:val="none"/>
        </w:rPr>
        <w:t>环境综合整治，拆除违法建筑73处，整改面积约1.3万平方米；查处违法用地卫片46宗，整改面积152.1亩；发现并整治群租房297套；对别墅和低层高档商品住宅私搭乱建问题立案4起。同步推进非法加油整治和规范企业内部加油，共查处流动非法加油车4辆，取缔非法加油点3处，收缴柴油10吨；32个企业内部撬装式加油点纳入数字化监管平台。按照“划片管理、分片包干”方式，开展市容环境全覆盖巡查和精细化管理，累计处置各类市容环境问题3500余个。完善道路交通设施建设，在航津路光明路口等3处视距不足点位安装“路口哨兵”</w:t>
      </w:r>
      <w:r>
        <w:rPr>
          <w:rFonts w:hint="default" w:ascii="Times New Roman" w:hAnsi="Times New Roman" w:eastAsia="仿宋_GB2312" w:cs="Times New Roman"/>
          <w:color w:val="auto"/>
          <w:sz w:val="32"/>
          <w:szCs w:val="32"/>
          <w:highlight w:val="none"/>
          <w:vertAlign w:val="superscript"/>
        </w:rPr>
        <w:t>[20]</w:t>
      </w:r>
      <w:r>
        <w:rPr>
          <w:rFonts w:hint="default" w:ascii="Times New Roman" w:hAnsi="Times New Roman" w:eastAsia="仿宋_GB2312" w:cs="Times New Roman"/>
          <w:color w:val="auto"/>
          <w:sz w:val="32"/>
          <w:szCs w:val="32"/>
          <w:highlight w:val="none"/>
        </w:rPr>
        <w:t>。开展户外广告和店招店牌专项整治，拆除违规破损店招店牌55块。开展渣土运输、非法营运等重点行业专项整治行动，各类违法违规事项立案218起，处罚金额约33.3万元。常态长效推动全</w:t>
      </w:r>
      <w:r>
        <w:rPr>
          <w:rFonts w:hint="default" w:ascii="Times New Roman" w:hAnsi="Times New Roman" w:eastAsia="仿宋_GB2312" w:cs="Times New Roman"/>
          <w:color w:val="auto"/>
          <w:spacing w:val="-4"/>
          <w:kern w:val="0"/>
          <w:sz w:val="32"/>
          <w:szCs w:val="32"/>
          <w:highlight w:val="none"/>
        </w:rPr>
        <w:t>国文明城区创建和全国文明镇复评，较好完成新区入户模拟调查1次。</w:t>
      </w:r>
      <w:r>
        <w:rPr>
          <w:rFonts w:hint="default" w:ascii="Times New Roman" w:hAnsi="Times New Roman" w:eastAsia="仿宋_GB2312" w:cs="Times New Roman"/>
          <w:color w:val="auto"/>
          <w:sz w:val="32"/>
          <w:szCs w:val="32"/>
          <w:highlight w:val="none"/>
        </w:rPr>
        <w:t>高标准开展爱国卫生运动，嘉里食品成功创建上海市基层爱国卫生健康促进示范点，蒲公英幼儿园等多家单位获评上海市优秀健康食堂，国家卫生镇创建成果持续巩固。</w:t>
      </w:r>
    </w:p>
    <w:p>
      <w:pPr>
        <w:snapToGrid w:val="0"/>
        <w:spacing w:line="56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rPr>
        <w:t>基层治理彰显活力。</w:t>
      </w:r>
      <w:r>
        <w:rPr>
          <w:rFonts w:hint="default" w:ascii="Times New Roman" w:hAnsi="Times New Roman" w:eastAsia="仿宋_GB2312" w:cs="Times New Roman"/>
          <w:color w:val="auto"/>
          <w:sz w:val="32"/>
          <w:szCs w:val="32"/>
          <w:highlight w:val="none"/>
        </w:rPr>
        <w:t>秉持“能加尽加、愿加快加”原则，持续推进既有多层住宅小区加装电梯，达成签约21台，开工建设18台，完成竣工15台，各项指标完成率综合排名保持全区前列；高东馨苑等5个老旧安置房小区24台电梯更新改造持续推进。深化</w:t>
      </w:r>
      <w:r>
        <w:rPr>
          <w:rFonts w:hint="default" w:ascii="Times New Roman" w:hAnsi="Times New Roman" w:eastAsia="仿宋_GB2312" w:cs="Times New Roman"/>
          <w:bCs/>
          <w:color w:val="auto"/>
          <w:sz w:val="32"/>
          <w:szCs w:val="32"/>
          <w:highlight w:val="none"/>
        </w:rPr>
        <w:t>“美丽家园”建设，完成</w:t>
      </w:r>
      <w:r>
        <w:rPr>
          <w:rFonts w:hint="default" w:ascii="Times New Roman" w:hAnsi="Times New Roman" w:eastAsia="仿宋_GB2312" w:cs="Times New Roman"/>
          <w:color w:val="auto"/>
          <w:sz w:val="32"/>
          <w:szCs w:val="32"/>
          <w:highlight w:val="none"/>
        </w:rPr>
        <w:t>杨园二村等9个小区设施改造、新高苑三期等3个小区楼道美化项目；高东新村、品欣雅苑等20个小区加装新能源充电桩351个。推动社区自治向“项目化管理、参与式治理”转变，实现17个居民区自治金项目全覆盖，鼓励社区居民全过程参与社区治理，打造出“七彩梦园”“春芽向阳”“绿色种子计划”等一批具有较高显示度的特色项目。绿杨家园居委会正式成立</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绿尚家园成立筹备组，首批</w:t>
      </w:r>
      <w:r>
        <w:rPr>
          <w:rFonts w:hint="default" w:ascii="Times New Roman" w:hAnsi="Times New Roman" w:eastAsia="仿宋_GB2312" w:cs="Times New Roman"/>
          <w:bCs/>
          <w:color w:val="auto"/>
          <w:sz w:val="32"/>
          <w:szCs w:val="32"/>
          <w:highlight w:val="none"/>
        </w:rPr>
        <w:t>交房426套。</w:t>
      </w:r>
      <w:r>
        <w:rPr>
          <w:rFonts w:hint="default" w:ascii="Times New Roman" w:hAnsi="Times New Roman" w:eastAsia="仿宋_GB2312" w:cs="Times New Roman"/>
          <w:color w:val="auto"/>
          <w:kern w:val="0"/>
          <w:sz w:val="32"/>
          <w:szCs w:val="32"/>
          <w:highlight w:val="none"/>
        </w:rPr>
        <w:t>建立小区物业费常态化调价机制，完成17个小区物业费调价工作，物业费最低标准达到0.8元/月/平方米。优化新高苑一期至四期机动车停车方案和收费标准，实现新高苑片区各小区停车收费相对统一。</w:t>
      </w:r>
      <w:r>
        <w:rPr>
          <w:rFonts w:hint="default" w:ascii="Times New Roman" w:hAnsi="Times New Roman" w:eastAsia="仿宋_GB2312" w:cs="Times New Roman"/>
          <w:color w:val="auto"/>
          <w:sz w:val="32"/>
          <w:szCs w:val="32"/>
          <w:highlight w:val="none"/>
        </w:rPr>
        <w:t>试点推进楼夏景园、广盛佳苑物业交叉管理，有效带动区域化物业整体服务质量。</w:t>
      </w:r>
      <w:r>
        <w:rPr>
          <w:rFonts w:hint="default" w:ascii="Times New Roman" w:hAnsi="Times New Roman" w:eastAsia="仿宋_GB2312" w:cs="Times New Roman"/>
          <w:color w:val="auto"/>
          <w:kern w:val="0"/>
          <w:sz w:val="32"/>
          <w:szCs w:val="32"/>
          <w:highlight w:val="none"/>
        </w:rPr>
        <w:t>龙腾阁小区正式成立业委会，符合条件的住宅小区业委会组建率达100%。社区治理实训营全年共举办8场主题活动，持续为社区工作者助力、为基层治理赋能。</w:t>
      </w:r>
    </w:p>
    <w:p>
      <w:pPr>
        <w:snapToGrid w:val="0"/>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一年来，我们坚定不移加强制度体系建设，政府效能实现稳步提升目标</w:t>
      </w:r>
      <w:r>
        <w:rPr>
          <w:rFonts w:hint="default" w:ascii="Times New Roman" w:hAnsi="Times New Roman" w:eastAsia="仿宋_GB2312" w:cs="Times New Roman"/>
          <w:b/>
          <w:bCs/>
          <w:color w:val="auto"/>
          <w:sz w:val="32"/>
          <w:szCs w:val="32"/>
          <w:highlight w:val="none"/>
        </w:rPr>
        <w:t>。</w:t>
      </w:r>
    </w:p>
    <w:p>
      <w:pPr>
        <w:snapToGrid w:val="0"/>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依法行政从严从实。</w:t>
      </w:r>
      <w:r>
        <w:rPr>
          <w:rFonts w:hint="default" w:ascii="Times New Roman" w:hAnsi="Times New Roman" w:eastAsia="仿宋_GB2312" w:cs="Times New Roman"/>
          <w:color w:val="auto"/>
          <w:sz w:val="32"/>
          <w:szCs w:val="32"/>
          <w:highlight w:val="none"/>
        </w:rPr>
        <w:t>依托镇公共法律服务平台，建立人民监督员、人民陪审员基层联系点，加强人大代表、居民群众参与法治建设工作积极性、主动性。编制《高东镇人民政府2024年重大行政决策事项目录》，严格执行重大行政决策法定程序，完成重大事项法制审核、合同合法性审查811件。持续推进政务信息公开，累计主动公开政务信息50件，主动公开率100%；受理并办结依申请政府信息公开48件，按期办结率100%，切实保障群众的知情权和监督权。做好行政规范性文件的制定、备案、清理审查工作，完成政府公文备案50件。认真落实行政机关负责人出庭应诉制度，本年度镇政府作为被告的行政诉讼案件共3件，行政复议案件3件，无行政诉讼或行政复议案件被纠错，行政诉讼案件维持零败诉，行政机关负责人出庭应诉率保持100%。</w:t>
      </w:r>
    </w:p>
    <w:p>
      <w:pPr>
        <w:adjustRightInd w:val="0"/>
        <w:snapToGrid w:val="0"/>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作风建设常抓不懈。</w:t>
      </w:r>
      <w:r>
        <w:rPr>
          <w:rFonts w:hint="default" w:ascii="Times New Roman" w:hAnsi="Times New Roman" w:eastAsia="仿宋_GB2312" w:cs="Times New Roman"/>
          <w:bCs/>
          <w:color w:val="auto"/>
          <w:sz w:val="32"/>
          <w:szCs w:val="32"/>
          <w:highlight w:val="none"/>
        </w:rPr>
        <w:t>坚持把全面从严治党各项要求贯穿到政府工作全过程，认真履行党风廉政建设“一岗双责”，扎实推进全面从严治党“四责协同”机制落地见效，</w:t>
      </w:r>
      <w:r>
        <w:rPr>
          <w:rFonts w:hint="default" w:ascii="Times New Roman" w:hAnsi="Times New Roman" w:eastAsia="仿宋_GB2312" w:cs="Times New Roman"/>
          <w:snapToGrid w:val="0"/>
          <w:color w:val="auto"/>
          <w:kern w:val="0"/>
          <w:sz w:val="32"/>
          <w:szCs w:val="32"/>
          <w:highlight w:val="none"/>
        </w:rPr>
        <w:t>持续以“问题、责任、项目”三张清单为抓手加强自我监督，以生态环保督察、安全管理检查、公益诉讼监督等专项工作为警示主动接受监督，分层分类推进问题落实整改</w:t>
      </w:r>
      <w:r>
        <w:rPr>
          <w:rFonts w:hint="default" w:ascii="Times New Roman" w:hAnsi="Times New Roman" w:eastAsia="仿宋_GB2312" w:cs="Times New Roman"/>
          <w:bCs/>
          <w:color w:val="auto"/>
          <w:sz w:val="32"/>
          <w:szCs w:val="32"/>
          <w:highlight w:val="none"/>
        </w:rPr>
        <w:t>。持续推进“纪审联动”</w:t>
      </w:r>
      <w:r>
        <w:rPr>
          <w:rFonts w:hint="default" w:ascii="Times New Roman" w:hAnsi="Times New Roman" w:eastAsia="仿宋_GB2312" w:cs="Times New Roman"/>
          <w:bCs/>
          <w:color w:val="auto"/>
          <w:sz w:val="32"/>
          <w:szCs w:val="32"/>
          <w:highlight w:val="none"/>
          <w:vertAlign w:val="superscript"/>
        </w:rPr>
        <w:t>[21]</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highlight w:val="none"/>
        </w:rPr>
        <w:t>围绕财务收支、建设项目、民生实事等重点领域强化审计监督，累计完成135个审计审价项目，完成历年未验收审计项目去存量21个，对审计发现问题整改情况进行跟踪检查。认真落实为基层减负举措，精简居村组织标识标牌180块，做到“牌子减下去，服务提上来”。</w:t>
      </w:r>
    </w:p>
    <w:p>
      <w:pPr>
        <w:snapToGrid w:val="0"/>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政务服务提质增效。</w:t>
      </w:r>
      <w:r>
        <w:rPr>
          <w:rFonts w:hint="default" w:ascii="Times New Roman" w:hAnsi="Times New Roman" w:eastAsia="仿宋_GB2312" w:cs="Times New Roman"/>
          <w:color w:val="auto"/>
          <w:sz w:val="32"/>
          <w:szCs w:val="32"/>
          <w:highlight w:val="none"/>
        </w:rPr>
        <w:t>在法治轨道上践行全过程人民民主，</w:t>
      </w:r>
      <w:r>
        <w:rPr>
          <w:rFonts w:hint="default" w:ascii="Times New Roman" w:hAnsi="Times New Roman" w:eastAsia="仿宋_GB2312" w:cs="Times New Roman"/>
          <w:bCs/>
          <w:color w:val="auto"/>
          <w:sz w:val="32"/>
          <w:szCs w:val="32"/>
          <w:highlight w:val="none"/>
        </w:rPr>
        <w:t>依法接受人大监督，</w:t>
      </w:r>
      <w:r>
        <w:rPr>
          <w:rFonts w:hint="default" w:ascii="Times New Roman" w:hAnsi="Times New Roman" w:eastAsia="仿宋_GB2312" w:cs="Times New Roman"/>
          <w:color w:val="auto"/>
          <w:sz w:val="32"/>
          <w:szCs w:val="32"/>
          <w:highlight w:val="none"/>
        </w:rPr>
        <w:t>先后就民生实事项目等事项向人大代表进行通报，办理人大代表建议23件，代表满意率100%。加强预算绩效管理，做到预算项目绩效自评价、自跟踪全覆盖；选取两个项目试点开展全成本绩效分析</w:t>
      </w:r>
      <w:r>
        <w:rPr>
          <w:rFonts w:hint="default" w:ascii="Times New Roman" w:hAnsi="Times New Roman" w:eastAsia="仿宋_GB2312" w:cs="Times New Roman"/>
          <w:color w:val="auto"/>
          <w:sz w:val="32"/>
          <w:szCs w:val="32"/>
          <w:highlight w:val="none"/>
          <w:vertAlign w:val="superscript"/>
        </w:rPr>
        <w:t>[22]</w:t>
      </w:r>
      <w:r>
        <w:rPr>
          <w:rFonts w:hint="default" w:ascii="Times New Roman" w:hAnsi="Times New Roman" w:eastAsia="仿宋_GB2312" w:cs="Times New Roman"/>
          <w:color w:val="auto"/>
          <w:sz w:val="32"/>
          <w:szCs w:val="32"/>
          <w:highlight w:val="none"/>
        </w:rPr>
        <w:t>，为降本增效提供理论依据。修订《高东镇财力投资工程项目管理办法》《高东镇政府购买服务管理实施办法》，持续健全镇财力投资项目全流程闭环管理，全年储备项目183个，实施项目176个。推进社区事务受理服务中心标准化建设，全年受理综合服务事项共计</w:t>
      </w:r>
      <w:r>
        <w:rPr>
          <w:rFonts w:hint="default" w:ascii="Times New Roman" w:hAnsi="Times New Roman" w:eastAsia="仿宋_GB2312" w:cs="Times New Roman"/>
          <w:color w:val="auto"/>
          <w:spacing w:val="-4"/>
          <w:sz w:val="32"/>
          <w:szCs w:val="32"/>
          <w:highlight w:val="none"/>
        </w:rPr>
        <w:t>3.5</w:t>
      </w:r>
      <w:r>
        <w:rPr>
          <w:rFonts w:hint="default" w:ascii="Times New Roman" w:hAnsi="Times New Roman" w:eastAsia="仿宋_GB2312" w:cs="Times New Roman"/>
          <w:color w:val="auto"/>
          <w:sz w:val="32"/>
          <w:szCs w:val="32"/>
          <w:highlight w:val="none"/>
        </w:rPr>
        <w:t>万余件、远程帮办事项</w:t>
      </w:r>
      <w:r>
        <w:rPr>
          <w:rFonts w:hint="default" w:ascii="Times New Roman" w:hAnsi="Times New Roman" w:eastAsia="仿宋_GB2312" w:cs="Times New Roman"/>
          <w:color w:val="auto"/>
          <w:spacing w:val="-4"/>
          <w:sz w:val="32"/>
          <w:szCs w:val="32"/>
          <w:highlight w:val="none"/>
        </w:rPr>
        <w:t>1502</w:t>
      </w:r>
      <w:r>
        <w:rPr>
          <w:rFonts w:hint="default" w:ascii="Times New Roman" w:hAnsi="Times New Roman" w:eastAsia="仿宋_GB2312" w:cs="Times New Roman"/>
          <w:color w:val="auto"/>
          <w:sz w:val="32"/>
          <w:szCs w:val="32"/>
          <w:highlight w:val="none"/>
        </w:rPr>
        <w:t>件，窗口评价满意率达</w:t>
      </w:r>
      <w:r>
        <w:rPr>
          <w:rFonts w:hint="default" w:ascii="Times New Roman" w:hAnsi="Times New Roman" w:eastAsia="仿宋_GB2312" w:cs="Times New Roman"/>
          <w:color w:val="auto"/>
          <w:spacing w:val="-4"/>
          <w:sz w:val="32"/>
          <w:szCs w:val="32"/>
          <w:highlight w:val="none"/>
        </w:rPr>
        <w:t>99</w:t>
      </w:r>
      <w:r>
        <w:rPr>
          <w:rFonts w:hint="default" w:ascii="Times New Roman" w:hAnsi="Times New Roman" w:eastAsia="仿宋_GB2312" w:cs="Times New Roman"/>
          <w:color w:val="auto"/>
          <w:sz w:val="32"/>
          <w:szCs w:val="32"/>
          <w:highlight w:val="none"/>
        </w:rPr>
        <w:t>%；大力推广政务服务“网上办”“预约办”“就近办”，切实提升群众的办事便利度。</w:t>
      </w:r>
    </w:p>
    <w:p>
      <w:pPr>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位代表、同志们！志不求易者成，事不避难者进。过去一年，我们携手同心、砥砺奋进，面对前所未有的困难和内外部环境变化，取得了来之不易的成绩。这些成绩的取得，是区委区政府和镇党委坚强领导的结果，是镇人大监督支持的结果，是各位代表建言献策的结果，是全镇广大干部群众团结奋斗、顽强拼搏的结果。在此，我谨代表高东镇人民政府，向辛勤奋战在各条战线上的广大干部群众，向大力支持政府工作的各位代表，向所有关心、支持高东经济建设与社会发展的社会各界人士，致以崇高的敬意和衷心的感谢！</w:t>
      </w:r>
    </w:p>
    <w:p>
      <w:pPr>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在看到成绩的同时，我们也清醒地认识到，高东的发展还存在一些困难和挑战，主要表现在：产业转型的速度和质量不高，优质园区和龙头企业的培育发展需进一步关注；城镇建设进入攻坚阶段，土地储备、城市更新等工作需进一步加快；</w:t>
      </w:r>
      <w:r>
        <w:rPr>
          <w:rFonts w:hint="default" w:ascii="Times New Roman" w:hAnsi="Times New Roman" w:eastAsia="仿宋_GB2312" w:cs="Times New Roman"/>
          <w:bCs/>
          <w:color w:val="auto"/>
          <w:sz w:val="32"/>
          <w:szCs w:val="32"/>
          <w:highlight w:val="none"/>
        </w:rPr>
        <w:t>民生保障</w:t>
      </w:r>
      <w:r>
        <w:rPr>
          <w:rFonts w:hint="default" w:ascii="Times New Roman" w:hAnsi="Times New Roman" w:eastAsia="仿宋_GB2312" w:cs="Times New Roman"/>
          <w:color w:val="auto"/>
          <w:sz w:val="32"/>
          <w:szCs w:val="32"/>
          <w:highlight w:val="none"/>
        </w:rPr>
        <w:t>与城市管理距离群众更高期盼仍有差距，精细化管理水平和政务服务效能需进一步提升。对此，我们将直面问题、认真对待，采取有力措施，切实加以解决。</w:t>
      </w:r>
    </w:p>
    <w:p>
      <w:pPr>
        <w:snapToGrid w:val="0"/>
        <w:spacing w:line="560" w:lineRule="exact"/>
        <w:ind w:firstLine="640" w:firstLineChars="200"/>
        <w:rPr>
          <w:rFonts w:hint="default" w:ascii="Times New Roman" w:hAnsi="Times New Roman" w:eastAsia="仿宋_GB2312" w:cs="Times New Roman"/>
          <w:color w:val="auto"/>
          <w:sz w:val="32"/>
          <w:szCs w:val="32"/>
          <w:highlight w:val="none"/>
        </w:rPr>
      </w:pPr>
    </w:p>
    <w:p>
      <w:pPr>
        <w:snapToGrid w:val="0"/>
        <w:spacing w:line="560" w:lineRule="exact"/>
        <w:jc w:val="center"/>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二、2025年工作安排</w:t>
      </w:r>
    </w:p>
    <w:p>
      <w:pPr>
        <w:snapToGrid w:val="0"/>
        <w:spacing w:line="560" w:lineRule="exact"/>
        <w:rPr>
          <w:rFonts w:hint="default" w:ascii="Times New Roman" w:hAnsi="Times New Roman" w:eastAsia="黑体" w:cs="Times New Roman"/>
          <w:color w:val="auto"/>
          <w:sz w:val="32"/>
          <w:szCs w:val="32"/>
          <w:highlight w:val="none"/>
        </w:rPr>
      </w:pPr>
    </w:p>
    <w:p>
      <w:pPr>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2025年是全面贯彻落实党的二十届三中全会精神的第一个完整年，是实施“十四五”规划的收官之年，做好新一年工作意义重大。根据镇五届四次党代会的安排部署，明年政府工作的总体思路是：坚持以习近平新时代中国特色社会主义思想为指导，全面贯彻落实党的二十届三中全会精神和习近平总书记考察上海重要讲话精神，认真落实中央、市、区各项决策部署，在镇党委的坚强领导下，坚持稳中求进工作总基调，完整、准确、全面贯彻新发展理念，以高质量经济发展、高标准城镇建设、高水平城市治理、高品质人民生活为导向，围绕浦东打造社会主义现代化建设引领区的目标任务，全面推进“富、强、美、好”现代化主城区建设，奋力谱写新时代高东高质量发展新篇章。</w:t>
      </w:r>
    </w:p>
    <w:p>
      <w:pPr>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综合考虑各方面因素，明年经济社会发展的主要预期目标是：巩固和增强经济回升向好态势，全口径税收收入同比力争增长6%左右；在地规上工业总产值增长3%左右；全社会固定资产投资完成新区下达指标；城乡登记失业人数控制在新区下达指标以内。</w:t>
      </w:r>
    </w:p>
    <w:p>
      <w:pPr>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围绕上述目标任务，重点抓好以下五个方面工作：</w:t>
      </w:r>
    </w:p>
    <w:p>
      <w:pPr>
        <w:snapToGrid w:val="0"/>
        <w:spacing w:line="560" w:lineRule="exact"/>
        <w:ind w:firstLine="643" w:firstLineChars="200"/>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（一）把握全局，抢抓机遇，高质量推动经济发展。</w:t>
      </w:r>
    </w:p>
    <w:p>
      <w:pPr>
        <w:snapToGrid w:val="0"/>
        <w:spacing w:line="56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rPr>
        <w:t>全链条促进产业集聚</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仿宋_GB2312" w:cs="Times New Roman"/>
          <w:bCs/>
          <w:color w:val="auto"/>
          <w:sz w:val="32"/>
          <w:szCs w:val="32"/>
          <w:highlight w:val="none"/>
        </w:rPr>
        <w:t>深入贯彻邮轮经济高质量发展国家战略，牢牢把握邮轮示范工程关键契机，对照“邮轮20条”</w:t>
      </w:r>
      <w:r>
        <w:rPr>
          <w:rFonts w:hint="default" w:ascii="Times New Roman" w:hAnsi="Times New Roman" w:eastAsia="仿宋_GB2312" w:cs="Times New Roman"/>
          <w:bCs/>
          <w:color w:val="auto"/>
          <w:sz w:val="32"/>
          <w:szCs w:val="32"/>
          <w:highlight w:val="none"/>
          <w:vertAlign w:val="superscript"/>
        </w:rPr>
        <w:t>[23]</w:t>
      </w:r>
      <w:r>
        <w:rPr>
          <w:rFonts w:hint="default" w:ascii="Times New Roman" w:hAnsi="Times New Roman" w:eastAsia="仿宋_GB2312" w:cs="Times New Roman"/>
          <w:bCs/>
          <w:color w:val="auto"/>
          <w:sz w:val="32"/>
          <w:szCs w:val="32"/>
          <w:highlight w:val="none"/>
        </w:rPr>
        <w:t>，加强与外高桥造船“链主”的协同联动，牵引带动上下游企业精准补链、强链、延链，做优做强邮轮特色产业园，着力打造浦东沿海产业走廊重要制造业节点、邮轮产业领军示范地区。牢固树立“产业为先、项目为王、效益为本”理念，加快构建</w:t>
      </w:r>
      <w:r>
        <w:rPr>
          <w:rFonts w:hint="default" w:ascii="Times New Roman" w:hAnsi="Times New Roman" w:eastAsia="仿宋_GB2312" w:cs="Times New Roman"/>
          <w:color w:val="auto"/>
          <w:sz w:val="32"/>
          <w:szCs w:val="32"/>
          <w:highlight w:val="none"/>
        </w:rPr>
        <w:t>“1主+1特+1专”产业体系</w:t>
      </w:r>
      <w:r>
        <w:rPr>
          <w:rFonts w:hint="default" w:ascii="Times New Roman" w:hAnsi="Times New Roman" w:eastAsia="仿宋_GB2312" w:cs="Times New Roman"/>
          <w:bCs/>
          <w:color w:val="auto"/>
          <w:sz w:val="32"/>
          <w:szCs w:val="32"/>
          <w:highlight w:val="none"/>
        </w:rPr>
        <w:t>，带动邮轮配套、食品加工、先进制造、现代物流等优势产业群集聚和核心竞争力培育。全面打造“集约化、定制化”产业空间，</w:t>
      </w:r>
      <w:r>
        <w:rPr>
          <w:rFonts w:hint="default" w:ascii="Times New Roman" w:hAnsi="Times New Roman" w:eastAsia="仿宋_GB2312" w:cs="Times New Roman"/>
          <w:color w:val="auto"/>
          <w:sz w:val="32"/>
          <w:szCs w:val="32"/>
          <w:highlight w:val="none"/>
        </w:rPr>
        <w:t>以“零增地”改扩建为抓手，全过程跟踪“项目准入、立项审批、开工建设、竣工投产”等各环节，</w:t>
      </w:r>
      <w:r>
        <w:rPr>
          <w:rFonts w:hint="default" w:ascii="Times New Roman" w:hAnsi="Times New Roman" w:eastAsia="仿宋_GB2312" w:cs="Times New Roman"/>
          <w:bCs/>
          <w:color w:val="auto"/>
          <w:sz w:val="32"/>
          <w:szCs w:val="32"/>
          <w:highlight w:val="none"/>
        </w:rPr>
        <w:t>推动</w:t>
      </w:r>
      <w:r>
        <w:rPr>
          <w:rFonts w:hint="default" w:ascii="Times New Roman" w:hAnsi="Times New Roman" w:eastAsia="仿宋_GB2312" w:cs="Times New Roman"/>
          <w:color w:val="auto"/>
          <w:sz w:val="32"/>
          <w:szCs w:val="32"/>
          <w:highlight w:val="none"/>
        </w:rPr>
        <w:t>新久和、金杨金属项目竣工投产，益海嘉里项目开工建设，北里永幸、亚冷控股</w:t>
      </w:r>
      <w:r>
        <w:rPr>
          <w:rFonts w:hint="default" w:ascii="Times New Roman" w:hAnsi="Times New Roman" w:eastAsia="仿宋_GB2312" w:cs="Times New Roman"/>
          <w:bCs/>
          <w:color w:val="auto"/>
          <w:sz w:val="32"/>
          <w:szCs w:val="32"/>
          <w:highlight w:val="none"/>
        </w:rPr>
        <w:t>等项目加快落地</w:t>
      </w:r>
      <w:r>
        <w:rPr>
          <w:rFonts w:hint="default" w:ascii="Times New Roman" w:hAnsi="Times New Roman" w:eastAsia="仿宋_GB2312" w:cs="Times New Roman"/>
          <w:color w:val="auto"/>
          <w:sz w:val="32"/>
          <w:szCs w:val="32"/>
          <w:highlight w:val="none"/>
        </w:rPr>
        <w:t>，提升产业项目的密度和规模，努力形成更多新增长点、增长极。</w:t>
      </w:r>
      <w:r>
        <w:rPr>
          <w:rFonts w:hint="default" w:ascii="Times New Roman" w:hAnsi="Times New Roman" w:eastAsia="仿宋_GB2312" w:cs="Times New Roman"/>
          <w:bCs/>
          <w:color w:val="auto"/>
          <w:sz w:val="32"/>
          <w:szCs w:val="32"/>
          <w:highlight w:val="none"/>
        </w:rPr>
        <w:t>持续提升集体企业投资运营能级，推动园区平台公司参与产业用地开发建设。</w:t>
      </w:r>
      <w:r>
        <w:rPr>
          <w:rFonts w:hint="default" w:ascii="Times New Roman" w:hAnsi="Times New Roman" w:eastAsia="仿宋_GB2312" w:cs="Times New Roman"/>
          <w:color w:val="auto"/>
          <w:sz w:val="32"/>
          <w:szCs w:val="32"/>
          <w:highlight w:val="none"/>
        </w:rPr>
        <w:t>深入推进“两评估、一清单、一盘活”</w:t>
      </w:r>
      <w:r>
        <w:rPr>
          <w:rFonts w:hint="default" w:ascii="Times New Roman" w:hAnsi="Times New Roman" w:eastAsia="仿宋_GB2312" w:cs="Times New Roman"/>
          <w:color w:val="auto"/>
          <w:sz w:val="32"/>
          <w:szCs w:val="32"/>
          <w:highlight w:val="none"/>
          <w:vertAlign w:val="superscript"/>
        </w:rPr>
        <w:t>[24]</w:t>
      </w:r>
      <w:r>
        <w:rPr>
          <w:rFonts w:hint="default" w:ascii="Times New Roman" w:hAnsi="Times New Roman" w:eastAsia="仿宋_GB2312" w:cs="Times New Roman"/>
          <w:color w:val="auto"/>
          <w:sz w:val="32"/>
          <w:szCs w:val="32"/>
          <w:highlight w:val="none"/>
        </w:rPr>
        <w:t>专项行动，以产业用地综合绩效评估结果为导向，结合带征地常态化管理，多措并举推动低效土地收回和提质增效，努力让好项目不缺土地、好产业不缺空间。</w:t>
      </w:r>
    </w:p>
    <w:p>
      <w:pPr>
        <w:snapToGrid w:val="0"/>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全方位优化招商引资</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仿宋_GB2312" w:cs="Times New Roman"/>
          <w:bCs/>
          <w:color w:val="auto"/>
          <w:sz w:val="32"/>
          <w:szCs w:val="32"/>
          <w:highlight w:val="none"/>
        </w:rPr>
        <w:t>以“大招商、招大商”为导向，加快构建“大招商体系”，完善产业链招商图谱和招商清单</w:t>
      </w:r>
      <w:r>
        <w:rPr>
          <w:rFonts w:hint="default" w:ascii="Times New Roman" w:hAnsi="Times New Roman" w:eastAsia="仿宋_GB2312" w:cs="Times New Roman"/>
          <w:color w:val="auto"/>
          <w:sz w:val="32"/>
          <w:szCs w:val="32"/>
          <w:highlight w:val="none"/>
        </w:rPr>
        <w:t>，打造更加专业化的招商队伍，制定招商机构考核奖励方案，有目标、有计划、有路径地赴国内外开展主题招商，持续延伸上下游产业链，形成品牌集聚效应。</w:t>
      </w:r>
      <w:r>
        <w:rPr>
          <w:rFonts w:hint="default" w:ascii="Times New Roman" w:hAnsi="Times New Roman" w:eastAsia="仿宋_GB2312" w:cs="Times New Roman"/>
          <w:color w:val="auto"/>
          <w:kern w:val="0"/>
          <w:sz w:val="32"/>
          <w:szCs w:val="32"/>
          <w:highlight w:val="none"/>
        </w:rPr>
        <w:t>积极承接新区重大项目和</w:t>
      </w:r>
      <w:r>
        <w:rPr>
          <w:rFonts w:hint="default" w:ascii="Times New Roman" w:hAnsi="Times New Roman" w:eastAsia="仿宋_GB2312" w:cs="Times New Roman"/>
          <w:bCs/>
          <w:color w:val="auto"/>
          <w:sz w:val="32"/>
          <w:szCs w:val="32"/>
          <w:highlight w:val="none"/>
        </w:rPr>
        <w:t>外高桥地区产业溢出效应，</w:t>
      </w:r>
      <w:r>
        <w:rPr>
          <w:rFonts w:hint="default" w:ascii="Times New Roman" w:hAnsi="Times New Roman" w:eastAsia="仿宋_GB2312" w:cs="Times New Roman"/>
          <w:color w:val="auto"/>
          <w:kern w:val="0"/>
          <w:sz w:val="32"/>
          <w:szCs w:val="32"/>
          <w:highlight w:val="none"/>
        </w:rPr>
        <w:t>主动做好相关项目落地的招商服务一体化工作，形成大产业联动组圈</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Cs/>
          <w:color w:val="auto"/>
          <w:sz w:val="32"/>
          <w:szCs w:val="32"/>
          <w:highlight w:val="none"/>
        </w:rPr>
        <w:t>用好“五高”联动</w:t>
      </w:r>
      <w:r>
        <w:rPr>
          <w:rFonts w:hint="default" w:ascii="Times New Roman" w:hAnsi="Times New Roman" w:eastAsia="仿宋_GB2312" w:cs="Times New Roman"/>
          <w:bCs/>
          <w:color w:val="auto"/>
          <w:sz w:val="32"/>
          <w:szCs w:val="32"/>
          <w:highlight w:val="none"/>
          <w:vertAlign w:val="superscript"/>
        </w:rPr>
        <w:t>[25]</w:t>
      </w:r>
      <w:r>
        <w:rPr>
          <w:rFonts w:hint="default" w:ascii="Times New Roman" w:hAnsi="Times New Roman" w:eastAsia="仿宋_GB2312" w:cs="Times New Roman"/>
          <w:bCs/>
          <w:color w:val="auto"/>
          <w:sz w:val="32"/>
          <w:szCs w:val="32"/>
          <w:highlight w:val="none"/>
        </w:rPr>
        <w:t>机制，强化与保税区管理局、外高桥集团等单位的资源对接，围绕产业布局开展联合招商。完成</w:t>
      </w:r>
      <w:r>
        <w:rPr>
          <w:rFonts w:hint="default" w:ascii="Times New Roman" w:hAnsi="Times New Roman" w:eastAsia="仿宋_GB2312" w:cs="Times New Roman"/>
          <w:color w:val="auto"/>
          <w:sz w:val="32"/>
          <w:szCs w:val="32"/>
          <w:highlight w:val="none"/>
        </w:rPr>
        <w:t>高东产业服务中心建设，充分发挥服务产业、服务企业的桥梁纽带作用。</w:t>
      </w:r>
      <w:r>
        <w:rPr>
          <w:rFonts w:hint="default" w:ascii="Times New Roman" w:hAnsi="Times New Roman" w:eastAsia="仿宋_GB2312" w:cs="Times New Roman"/>
          <w:bCs/>
          <w:color w:val="auto"/>
          <w:sz w:val="32"/>
          <w:szCs w:val="32"/>
          <w:highlight w:val="none"/>
        </w:rPr>
        <w:t>继续用好企业服务包制度，</w:t>
      </w:r>
      <w:r>
        <w:rPr>
          <w:rFonts w:hint="default" w:ascii="Times New Roman" w:hAnsi="Times New Roman" w:eastAsia="仿宋_GB2312" w:cs="Times New Roman"/>
          <w:color w:val="auto"/>
          <w:sz w:val="32"/>
          <w:szCs w:val="32"/>
          <w:highlight w:val="none"/>
        </w:rPr>
        <w:t>实时跟踪重点企业经营状况，密切关注高潜力中小企业发展动态，建立“小升规”</w:t>
      </w:r>
      <w:r>
        <w:rPr>
          <w:rFonts w:hint="default" w:ascii="Times New Roman" w:hAnsi="Times New Roman" w:eastAsia="仿宋_GB2312" w:cs="Times New Roman"/>
          <w:color w:val="auto"/>
          <w:sz w:val="32"/>
          <w:szCs w:val="32"/>
          <w:highlight w:val="none"/>
          <w:vertAlign w:val="superscript"/>
        </w:rPr>
        <w:t>[26]</w:t>
      </w:r>
      <w:r>
        <w:rPr>
          <w:rFonts w:hint="default" w:ascii="Times New Roman" w:hAnsi="Times New Roman" w:eastAsia="仿宋_GB2312" w:cs="Times New Roman"/>
          <w:color w:val="auto"/>
          <w:sz w:val="32"/>
          <w:szCs w:val="32"/>
          <w:highlight w:val="none"/>
        </w:rPr>
        <w:t>“专精特新”培育库，助力企业做大做强。强化“政企+企企”互联互动，加强与区域内龙头企业、大型企业的密切联动，常态化开展豪华邮轮、健康食品科普、大装备制造等特色产业游，积极举办优秀企业家早餐会、“樱花河畔”创客厅、企业家沙龙等各类活动，不断以朋招商、以朋会友、保链成团，实现招大引强、招新引优、招链引群。规范邮轮产业园交通秩序，加快推动沿江通道、华东路等配套路网竣工通车，切实改善园区交通环境。积极倡导“诚信兴商，依法计量”，努力争创上海市诚信计量示范镇。</w:t>
      </w:r>
    </w:p>
    <w:p>
      <w:pPr>
        <w:snapToGrid w:val="0"/>
        <w:spacing w:line="560" w:lineRule="exact"/>
        <w:ind w:firstLine="643"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全过程加强集资管理</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仿宋_GB2312" w:cs="Times New Roman"/>
          <w:bCs/>
          <w:color w:val="auto"/>
          <w:sz w:val="32"/>
          <w:szCs w:val="32"/>
          <w:highlight w:val="none"/>
        </w:rPr>
        <w:t>加强集体企业运营管理，</w:t>
      </w:r>
      <w:r>
        <w:rPr>
          <w:rFonts w:hint="default" w:ascii="Times New Roman" w:hAnsi="Times New Roman" w:eastAsia="仿宋_GB2312" w:cs="Times New Roman"/>
          <w:color w:val="auto"/>
          <w:sz w:val="32"/>
          <w:szCs w:val="32"/>
          <w:highlight w:val="none"/>
        </w:rPr>
        <w:t>形成符合高东实际的集体企业治理结构调整优化方案，完成企业架构调整及人员“三定”，充分转化集体企业法人治理结构专项调研成果，推动集体企业专业化、规范化、科学化运行。</w:t>
      </w:r>
      <w:r>
        <w:rPr>
          <w:rFonts w:hint="default" w:ascii="Times New Roman" w:hAnsi="Times New Roman" w:eastAsia="仿宋_GB2312" w:cs="Times New Roman"/>
          <w:bCs/>
          <w:color w:val="auto"/>
          <w:sz w:val="32"/>
          <w:szCs w:val="32"/>
          <w:highlight w:val="none"/>
        </w:rPr>
        <w:t>完成</w:t>
      </w:r>
      <w:r>
        <w:rPr>
          <w:rFonts w:hint="default" w:ascii="Times New Roman" w:hAnsi="Times New Roman" w:eastAsia="仿宋_GB2312" w:cs="Times New Roman"/>
          <w:bCs/>
          <w:color w:val="auto"/>
          <w:sz w:val="32"/>
          <w:szCs w:val="32"/>
          <w:highlight w:val="none"/>
          <w:lang w:val="zh-CN"/>
        </w:rPr>
        <w:t>镇经联社换届选举工作。</w:t>
      </w:r>
      <w:r>
        <w:rPr>
          <w:rFonts w:hint="default" w:ascii="Times New Roman" w:hAnsi="Times New Roman" w:eastAsia="仿宋_GB2312" w:cs="Times New Roman"/>
          <w:bCs/>
          <w:color w:val="auto"/>
          <w:sz w:val="32"/>
          <w:szCs w:val="32"/>
          <w:highlight w:val="none"/>
        </w:rPr>
        <w:t>理顺集体资产投资关系，扩大村集体经济组织收益分配覆盖面，做到集体资产收益“应分配、尽分配”。</w:t>
      </w:r>
      <w:r>
        <w:rPr>
          <w:rFonts w:hint="default" w:ascii="Times New Roman" w:hAnsi="Times New Roman" w:eastAsia="仿宋_GB2312" w:cs="Times New Roman"/>
          <w:color w:val="auto"/>
          <w:sz w:val="32"/>
          <w:szCs w:val="32"/>
          <w:highlight w:val="none"/>
        </w:rPr>
        <w:t>规范集体资产管理，修订《高东镇集体资产租赁市场价格指导目录》，做到集体资产“应出租、尽出租”，依托农村集体资产租赁交易管理平台，面向社会公开招租、续租，确保资产出租率达95%以上。聚焦园区开发、商铺收购、城镇建设等方面持续加大投资力度，找准集体经济和区域民生的粘合点，完善宝佳苑、绿杨家园、绿尚家园沿街商铺的商业布局及运营方案，打造多样化的社区商业体系，实现“属地政府、集体企业、社区居民”多方共赢。完成楼下村撤村集体资产处置工作。</w:t>
      </w:r>
    </w:p>
    <w:p>
      <w:pPr>
        <w:snapToGrid w:val="0"/>
        <w:spacing w:line="560" w:lineRule="exact"/>
        <w:ind w:firstLine="643" w:firstLineChars="200"/>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（二）统筹兼顾，系统谋划，高起点推动城镇建设。</w:t>
      </w:r>
    </w:p>
    <w:p>
      <w:pPr>
        <w:snapToGrid w:val="0"/>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抢抓规划建设“黄金期”</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仿宋_GB2312" w:cs="Times New Roman"/>
          <w:bCs/>
          <w:color w:val="auto"/>
          <w:sz w:val="32"/>
          <w:szCs w:val="32"/>
          <w:highlight w:val="none"/>
        </w:rPr>
        <w:t>坚持全域空间规划先行，持续优化产业布局，全力推动杨园南镇控制性详细规划、外高桥微电子产业园区成片开发方案获批。</w:t>
      </w:r>
      <w:r>
        <w:rPr>
          <w:rFonts w:hint="default" w:ascii="Times New Roman" w:hAnsi="Times New Roman" w:eastAsia="仿宋_GB2312" w:cs="Times New Roman"/>
          <w:color w:val="auto"/>
          <w:sz w:val="32"/>
          <w:szCs w:val="32"/>
          <w:highlight w:val="none"/>
        </w:rPr>
        <w:t>按照“应储尽储、应出尽出”要求，</w:t>
      </w:r>
      <w:r>
        <w:rPr>
          <w:rFonts w:hint="default" w:ascii="Times New Roman" w:hAnsi="Times New Roman" w:eastAsia="仿宋_GB2312" w:cs="Times New Roman"/>
          <w:bCs/>
          <w:color w:val="auto"/>
          <w:sz w:val="32"/>
          <w:szCs w:val="32"/>
          <w:highlight w:val="none"/>
        </w:rPr>
        <w:t>依托“3+3+N”土地储备模式</w:t>
      </w:r>
      <w:r>
        <w:rPr>
          <w:rFonts w:hint="default" w:ascii="Times New Roman" w:hAnsi="Times New Roman" w:eastAsia="仿宋_GB2312" w:cs="Times New Roman"/>
          <w:bCs/>
          <w:color w:val="auto"/>
          <w:sz w:val="32"/>
          <w:szCs w:val="32"/>
          <w:highlight w:val="none"/>
          <w:vertAlign w:val="superscript"/>
        </w:rPr>
        <w:t>[27]</w:t>
      </w:r>
      <w:r>
        <w:rPr>
          <w:rFonts w:hint="default" w:ascii="Times New Roman" w:hAnsi="Times New Roman" w:eastAsia="仿宋_GB2312" w:cs="Times New Roman"/>
          <w:bCs/>
          <w:color w:val="auto"/>
          <w:sz w:val="32"/>
          <w:szCs w:val="32"/>
          <w:highlight w:val="none"/>
        </w:rPr>
        <w:t>，一体化推进</w:t>
      </w:r>
      <w:r>
        <w:rPr>
          <w:rFonts w:hint="default" w:ascii="Times New Roman" w:hAnsi="Times New Roman" w:eastAsia="仿宋_GB2312" w:cs="Times New Roman"/>
          <w:color w:val="auto"/>
          <w:kern w:val="0"/>
          <w:sz w:val="32"/>
          <w:szCs w:val="32"/>
          <w:highlight w:val="none"/>
        </w:rPr>
        <w:t>23个土地储备项目，</w:t>
      </w:r>
      <w:r>
        <w:rPr>
          <w:rFonts w:hint="default" w:ascii="Times New Roman" w:hAnsi="Times New Roman" w:eastAsia="仿宋_GB2312" w:cs="Times New Roman"/>
          <w:color w:val="auto"/>
          <w:sz w:val="32"/>
          <w:szCs w:val="32"/>
          <w:highlight w:val="none"/>
        </w:rPr>
        <w:t>完成竹园污水四期红线外储备地块2、物流园区二期8-2及10-2组合地块收储并形成净地，共计释放370亩产业用地。加快推进“城中村”改造，完成500余产居民征收签约，切实改善居民居住环境。持续为重大工程保驾护航，全力助推</w:t>
      </w:r>
      <w:r>
        <w:rPr>
          <w:rFonts w:hint="default" w:ascii="Times New Roman" w:hAnsi="Times New Roman" w:eastAsia="仿宋_GB2312" w:cs="Times New Roman"/>
          <w:bCs/>
          <w:color w:val="auto"/>
          <w:sz w:val="32"/>
          <w:szCs w:val="32"/>
          <w:highlight w:val="none"/>
        </w:rPr>
        <w:t>沪通铁路二期、沿江通道、轨交崇明线高宝路站、合流污水一期等项目施工进度按期完成；确保轨交20号线新园路站开工建设，彻底结束高东镇无地铁历史。</w:t>
      </w:r>
      <w:r>
        <w:rPr>
          <w:rFonts w:hint="default" w:ascii="Times New Roman" w:hAnsi="Times New Roman" w:eastAsia="仿宋_GB2312" w:cs="Times New Roman"/>
          <w:color w:val="auto"/>
          <w:sz w:val="32"/>
          <w:szCs w:val="32"/>
          <w:highlight w:val="none"/>
        </w:rPr>
        <w:t>推进农村房地一体宅基地确权登记，为符合条件的村民更新不动产证。持续加强带征地管理，优化现行“租税联动”机制，严格落实带征地出租事项集体决策制度，确保带征地用途的合法性、合规性。</w:t>
      </w:r>
    </w:p>
    <w:p>
      <w:pPr>
        <w:snapToGrid w:val="0"/>
        <w:spacing w:line="56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rPr>
        <w:t>拉满城市更新“进度条”</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仿宋_GB2312" w:cs="Times New Roman"/>
          <w:bCs/>
          <w:color w:val="auto"/>
          <w:sz w:val="32"/>
          <w:szCs w:val="32"/>
          <w:highlight w:val="none"/>
        </w:rPr>
        <w:t>完善园区、社区基础设施建设，完成新园路、高翔路、高翔环路等3条道路改造提升，保障居民顺畅通行；推动</w:t>
      </w:r>
      <w:r>
        <w:rPr>
          <w:rFonts w:hint="default" w:ascii="Times New Roman" w:hAnsi="Times New Roman" w:eastAsia="仿宋_GB2312" w:cs="Times New Roman"/>
          <w:color w:val="auto"/>
          <w:sz w:val="32"/>
          <w:szCs w:val="32"/>
          <w:highlight w:val="none"/>
        </w:rPr>
        <w:t>上游村25-5、25-6地块等2处新建绿地、高东规划新开河等2条规划河道、高东新路（浦东运河桥-华东路）等5条园区配套道路开工建设。</w:t>
      </w:r>
      <w:r>
        <w:rPr>
          <w:rFonts w:hint="default" w:ascii="Times New Roman" w:hAnsi="Times New Roman" w:eastAsia="仿宋_GB2312" w:cs="Times New Roman"/>
          <w:bCs/>
          <w:color w:val="auto"/>
          <w:sz w:val="32"/>
          <w:szCs w:val="32"/>
          <w:highlight w:val="none"/>
        </w:rPr>
        <w:t>深入开展缤纷社区建设，杨园片区高标准打造一处集文化、休闲、阅览为一体的社区文化服务综合体，将更多元的文化休闲体验传递给社区居民；完成高东樱花园、杨园体育公园、高东法治广场整体改造提升以及樱花园等5处公共厕所适老化适幼化改造，实现社区公共设施功能配套完善、空间布局优化。完成千秋嘉苑等3个老旧小区综合整新及高东新村等10个小区配套设施微更新，进一步美化小区环境、提升居住品质。</w:t>
      </w:r>
    </w:p>
    <w:p>
      <w:pPr>
        <w:snapToGrid w:val="0"/>
        <w:spacing w:line="560" w:lineRule="exact"/>
        <w:ind w:firstLine="643" w:firstLineChars="200"/>
        <w:rPr>
          <w:rFonts w:hint="default" w:ascii="Times New Roman" w:hAnsi="Times New Roman" w:eastAsia="楷体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筑强生态环境“防护堤”</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仿宋_GB2312" w:cs="Times New Roman"/>
          <w:color w:val="auto"/>
          <w:sz w:val="32"/>
          <w:szCs w:val="32"/>
          <w:highlight w:val="none"/>
        </w:rPr>
        <w:t>坚持“当下改”和“长久立”相结合，全力做好各级环保督察问题清单“马上办”和“回头看”，持续推进雨污混接普查、污染源常态化防治等工作，推动“解决一个问题”向“解决一类问题”延伸，促进生态环保质效齐升。严格执行“巡、盯、管、督”河长制管理模式，常态化开展河道“清四乱”行动</w:t>
      </w:r>
      <w:r>
        <w:rPr>
          <w:rFonts w:hint="default" w:ascii="Times New Roman" w:hAnsi="Times New Roman" w:eastAsia="仿宋_GB2312" w:cs="Times New Roman"/>
          <w:color w:val="auto"/>
          <w:sz w:val="32"/>
          <w:szCs w:val="32"/>
          <w:highlight w:val="none"/>
          <w:vertAlign w:val="superscript"/>
        </w:rPr>
        <w:t>[28]</w:t>
      </w:r>
      <w:r>
        <w:rPr>
          <w:rFonts w:hint="default" w:ascii="Times New Roman" w:hAnsi="Times New Roman" w:eastAsia="仿宋_GB2312" w:cs="Times New Roman"/>
          <w:color w:val="auto"/>
          <w:sz w:val="32"/>
          <w:szCs w:val="32"/>
          <w:highlight w:val="none"/>
        </w:rPr>
        <w:t>，确保水环境质量保持稳定。持续完善全镇林绿资源权属“一张图”，挖掘造林空间和扩绿潜力，提升公益林管护、古树名木保护及绿化养护质量。推进“四好农村路”建设，健全掘路计划统筹机制，关注和防治“马路拉链”</w:t>
      </w:r>
      <w:r>
        <w:rPr>
          <w:rFonts w:hint="default" w:ascii="Times New Roman" w:hAnsi="Times New Roman" w:eastAsia="仿宋_GB2312" w:cs="Times New Roman"/>
          <w:color w:val="auto"/>
          <w:sz w:val="32"/>
          <w:szCs w:val="32"/>
          <w:highlight w:val="none"/>
          <w:vertAlign w:val="superscript"/>
        </w:rPr>
        <w:t>[29]</w:t>
      </w:r>
      <w:r>
        <w:rPr>
          <w:rFonts w:hint="default" w:ascii="Times New Roman" w:hAnsi="Times New Roman" w:eastAsia="仿宋_GB2312" w:cs="Times New Roman"/>
          <w:color w:val="auto"/>
          <w:sz w:val="32"/>
          <w:szCs w:val="32"/>
          <w:highlight w:val="none"/>
        </w:rPr>
        <w:t>现象，确保道路洁净有序、常养常新。坚持“控新增、去存量”方针不动摇，持续巩固“五违四必”环境综合整治成效。持续在6个村推行乡村治理积分制，激发村民自治共治热情，构建生态宜居的“美丽乡村”。</w:t>
      </w:r>
    </w:p>
    <w:p>
      <w:pPr>
        <w:snapToGrid w:val="0"/>
        <w:spacing w:line="560" w:lineRule="exact"/>
        <w:ind w:firstLine="643" w:firstLineChars="200"/>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（三）突出重点，精准发力，高品质推动民生供给。</w:t>
      </w:r>
    </w:p>
    <w:p>
      <w:pPr>
        <w:snapToGrid w:val="0"/>
        <w:spacing w:line="560" w:lineRule="exact"/>
        <w:ind w:firstLine="643" w:firstLineChars="200"/>
        <w:rPr>
          <w:rFonts w:hint="default" w:ascii="Times New Roman" w:hAnsi="Times New Roman" w:eastAsia="楷体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谋深谋实增强民生保障</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仿宋_GB2312" w:cs="Times New Roman"/>
          <w:bCs/>
          <w:color w:val="auto"/>
          <w:sz w:val="32"/>
          <w:szCs w:val="32"/>
          <w:highlight w:val="none"/>
        </w:rPr>
        <w:t>推动“15分钟就业服务圈”从“硬件”到“软件”双向提升，持续增强</w:t>
      </w:r>
      <w:r>
        <w:rPr>
          <w:rFonts w:hint="default" w:ascii="Times New Roman" w:hAnsi="Times New Roman" w:eastAsia="仿宋_GB2312" w:cs="Times New Roman"/>
          <w:color w:val="auto"/>
          <w:spacing w:val="-4"/>
          <w:sz w:val="32"/>
          <w:szCs w:val="32"/>
          <w:highlight w:val="none"/>
        </w:rPr>
        <w:t>“1个中心+2个站点+26个居村”基层协同就业服务体系运转效能</w:t>
      </w:r>
      <w:r>
        <w:rPr>
          <w:rFonts w:hint="default" w:ascii="Times New Roman" w:hAnsi="Times New Roman" w:eastAsia="仿宋_GB2312" w:cs="Times New Roman"/>
          <w:bCs/>
          <w:color w:val="auto"/>
          <w:sz w:val="32"/>
          <w:szCs w:val="32"/>
          <w:highlight w:val="none"/>
        </w:rPr>
        <w:t>。千方百计稳就业、保就业、促民生，重点抓好高校毕业生、退役军人、就业困难人员等群体就业，保持就业形势整体稳定。完成新增就业岗位指标，城镇登记失业率控制在指标数以内。精准落实城乡低保、重残人员等贫困对象的社保扶贫政策，实现城乡居保“应保尽保”。常态化排查、识别、预防劳资领域风险隐患，切实维护劳动者合法权益。做好新一轮社区事务受理服务中心标准化考核准备，争创上海市5A级服务中心。精心组织2025年“慈善公益联合捐”活动</w:t>
      </w:r>
      <w:r>
        <w:rPr>
          <w:rFonts w:hint="default" w:ascii="Times New Roman" w:hAnsi="Times New Roman" w:eastAsia="仿宋_GB2312" w:cs="Times New Roman"/>
          <w:color w:val="auto"/>
          <w:sz w:val="32"/>
          <w:szCs w:val="32"/>
          <w:highlight w:val="none"/>
        </w:rPr>
        <w:t>。</w:t>
      </w:r>
    </w:p>
    <w:p>
      <w:pPr>
        <w:snapToGrid w:val="0"/>
        <w:spacing w:line="56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rPr>
        <w:t>精准精细拓展公共服务</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仿宋_GB2312" w:cs="Times New Roman"/>
          <w:bCs/>
          <w:color w:val="auto"/>
          <w:sz w:val="32"/>
          <w:szCs w:val="32"/>
          <w:highlight w:val="none"/>
        </w:rPr>
        <w:t>持续增强社区养老服务供给，实施“老吾老计划”</w:t>
      </w:r>
      <w:r>
        <w:rPr>
          <w:rFonts w:hint="default" w:ascii="Times New Roman" w:hAnsi="Times New Roman" w:eastAsia="仿宋_GB2312" w:cs="Times New Roman"/>
          <w:bCs/>
          <w:color w:val="auto"/>
          <w:sz w:val="32"/>
          <w:szCs w:val="32"/>
          <w:highlight w:val="none"/>
          <w:vertAlign w:val="superscript"/>
        </w:rPr>
        <w:t>[30]</w:t>
      </w:r>
      <w:r>
        <w:rPr>
          <w:rFonts w:hint="default" w:ascii="Times New Roman" w:hAnsi="Times New Roman" w:eastAsia="仿宋_GB2312" w:cs="Times New Roman"/>
          <w:bCs/>
          <w:color w:val="auto"/>
          <w:sz w:val="32"/>
          <w:szCs w:val="32"/>
          <w:highlight w:val="none"/>
        </w:rPr>
        <w:t>和“老伙伴计划”</w:t>
      </w:r>
      <w:r>
        <w:rPr>
          <w:rFonts w:hint="default" w:ascii="Times New Roman" w:hAnsi="Times New Roman" w:eastAsia="仿宋_GB2312" w:cs="Times New Roman"/>
          <w:bCs/>
          <w:color w:val="auto"/>
          <w:sz w:val="32"/>
          <w:szCs w:val="32"/>
          <w:highlight w:val="none"/>
          <w:vertAlign w:val="superscript"/>
        </w:rPr>
        <w:t>[31]</w:t>
      </w:r>
      <w:r>
        <w:rPr>
          <w:rFonts w:hint="default" w:ascii="Times New Roman" w:hAnsi="Times New Roman" w:eastAsia="仿宋_GB2312" w:cs="Times New Roman"/>
          <w:bCs/>
          <w:color w:val="auto"/>
          <w:sz w:val="32"/>
          <w:szCs w:val="32"/>
          <w:highlight w:val="none"/>
        </w:rPr>
        <w:t>，打造认知障碍友好社区，推进家门口养老服务站、特殊困难老年群体适老化改造等项目；完成高东镇第一养老院修缮改造，第二养老院移交专业机构运营。</w:t>
      </w:r>
      <w:r>
        <w:rPr>
          <w:rFonts w:hint="default" w:ascii="Times New Roman" w:hAnsi="Times New Roman" w:eastAsia="仿宋_GB2312" w:cs="Times New Roman"/>
          <w:color w:val="auto"/>
          <w:sz w:val="32"/>
          <w:szCs w:val="32"/>
          <w:highlight w:val="none"/>
        </w:rPr>
        <w:t>持续扩大普惠性托育服务供给，</w:t>
      </w:r>
      <w:r>
        <w:rPr>
          <w:rFonts w:hint="default" w:ascii="Times New Roman" w:hAnsi="Times New Roman" w:eastAsia="仿宋_GB2312" w:cs="Times New Roman"/>
          <w:bCs/>
          <w:color w:val="auto"/>
          <w:sz w:val="32"/>
          <w:szCs w:val="32"/>
          <w:highlight w:val="none"/>
        </w:rPr>
        <w:t>欣杨景苑社区“宝宝屋”</w:t>
      </w:r>
      <w:r>
        <w:rPr>
          <w:rFonts w:hint="default" w:ascii="Times New Roman" w:hAnsi="Times New Roman" w:eastAsia="仿宋_GB2312" w:cs="Times New Roman"/>
          <w:color w:val="auto"/>
          <w:sz w:val="32"/>
          <w:szCs w:val="32"/>
          <w:highlight w:val="none"/>
        </w:rPr>
        <w:t>正式启动运营。</w:t>
      </w:r>
      <w:r>
        <w:rPr>
          <w:rFonts w:hint="default" w:ascii="Times New Roman" w:hAnsi="Times New Roman" w:eastAsia="仿宋_GB2312" w:cs="Times New Roman"/>
          <w:bCs/>
          <w:color w:val="auto"/>
          <w:sz w:val="32"/>
          <w:szCs w:val="32"/>
          <w:highlight w:val="none"/>
        </w:rPr>
        <w:t>持续推进教育配套设施建设，完成D1-15地块幼儿园验收开园，23-3地块配套中学实现结构封顶。联合杨园中心小学、华高小学举办爱心寒暑托班，向社会提供400个托位。</w:t>
      </w:r>
      <w:r>
        <w:rPr>
          <w:rFonts w:hint="default" w:ascii="Times New Roman" w:hAnsi="Times New Roman" w:eastAsia="仿宋_GB2312" w:cs="Times New Roman"/>
          <w:color w:val="auto"/>
          <w:sz w:val="32"/>
          <w:szCs w:val="32"/>
          <w:highlight w:val="none"/>
        </w:rPr>
        <w:t>不断扩大家庭医生签约覆盖面，持续提升</w:t>
      </w:r>
      <w:r>
        <w:rPr>
          <w:rFonts w:hint="default" w:ascii="Times New Roman" w:hAnsi="Times New Roman" w:eastAsia="仿宋_GB2312" w:cs="Times New Roman"/>
          <w:bCs/>
          <w:color w:val="auto"/>
          <w:sz w:val="32"/>
          <w:szCs w:val="32"/>
          <w:highlight w:val="none"/>
        </w:rPr>
        <w:t>社区医疗服务水平。常态化开展爱国卫生运动。</w:t>
      </w:r>
    </w:p>
    <w:p>
      <w:pPr>
        <w:snapToGrid w:val="0"/>
        <w:spacing w:line="56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rPr>
        <w:t>用情用心发展文体事业</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仿宋_GB2312" w:cs="Times New Roman"/>
          <w:bCs/>
          <w:color w:val="auto"/>
          <w:sz w:val="32"/>
          <w:szCs w:val="32"/>
          <w:highlight w:val="none"/>
        </w:rPr>
        <w:t>坚持“平台集约化、受众多元化、项目多维化、活动多样化、管理规范化”理念，持续擦亮“樱花”“门球”两张名片。用心用情办好“樱花节”系列活动，</w:t>
      </w:r>
      <w:r>
        <w:rPr>
          <w:rFonts w:hint="default" w:ascii="Times New Roman" w:hAnsi="Times New Roman" w:eastAsia="仿宋_GB2312" w:cs="Times New Roman"/>
          <w:color w:val="auto"/>
          <w:sz w:val="32"/>
          <w:szCs w:val="32"/>
          <w:highlight w:val="none"/>
        </w:rPr>
        <w:t>积极探索文旅融合新方向，充分利用高东生态园等公共空间，打造“露营+文体活动”新形式，不断丰富市民赏樱游玩体验，切实将“樱花流量”转变为“群众留量”。实施门球振兴计划，结合门球运动“进学校、进社区、进企业”等活动加大推广普及力度，逐步扩大门球运动受众面，不断充实门球队伍力量。积极承办门球、羽毛球、华拳、钓鱼等各类体育赛事，持续激发全民健身热情。以群众需求为导向，将公共文化服务资源的“触角”延伸到社区基层，为群众幸福生活“加码”。</w:t>
      </w:r>
    </w:p>
    <w:p>
      <w:pPr>
        <w:snapToGrid w:val="0"/>
        <w:spacing w:line="560" w:lineRule="exact"/>
        <w:ind w:firstLine="643" w:firstLineChars="200"/>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（四）创新思路，强化举措，高效能推动社会治理。</w:t>
      </w:r>
    </w:p>
    <w:p>
      <w:pPr>
        <w:adjustRightInd w:val="0"/>
        <w:snapToGrid w:val="0"/>
        <w:spacing w:line="560" w:lineRule="exact"/>
        <w:ind w:firstLine="643" w:firstLineChars="200"/>
        <w:rPr>
          <w:rFonts w:hint="default" w:ascii="Times New Roman" w:hAnsi="Times New Roman" w:eastAsia="楷体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rPr>
        <w:t>守牢平安建设“生命线”</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仿宋_GB2312" w:cs="Times New Roman"/>
          <w:bCs/>
          <w:color w:val="auto"/>
          <w:sz w:val="32"/>
          <w:szCs w:val="32"/>
          <w:highlight w:val="none"/>
        </w:rPr>
        <w:t>持续推动安全生产治本攻坚，</w:t>
      </w:r>
      <w:r>
        <w:rPr>
          <w:rFonts w:hint="default" w:ascii="Times New Roman" w:hAnsi="Times New Roman" w:eastAsia="仿宋_GB2312" w:cs="Times New Roman"/>
          <w:color w:val="auto"/>
          <w:sz w:val="32"/>
          <w:szCs w:val="32"/>
          <w:highlight w:val="none"/>
        </w:rPr>
        <w:t>严格落实安全生产“三管三必须”，健全“1+10+X”应急预案体系</w:t>
      </w:r>
      <w:r>
        <w:rPr>
          <w:rFonts w:hint="default" w:ascii="Times New Roman" w:hAnsi="Times New Roman" w:eastAsia="仿宋_GB2312" w:cs="Times New Roman"/>
          <w:color w:val="auto"/>
          <w:sz w:val="32"/>
          <w:szCs w:val="32"/>
          <w:highlight w:val="none"/>
          <w:vertAlign w:val="superscript"/>
        </w:rPr>
        <w:t>[32]</w:t>
      </w:r>
      <w:r>
        <w:rPr>
          <w:rFonts w:hint="default" w:ascii="Times New Roman" w:hAnsi="Times New Roman" w:eastAsia="仿宋_GB2312" w:cs="Times New Roman"/>
          <w:color w:val="auto"/>
          <w:sz w:val="32"/>
          <w:szCs w:val="32"/>
          <w:highlight w:val="none"/>
        </w:rPr>
        <w:t>，重点抓好消防、燃气、食品、电动自行车、类住宅、防汛防台等领域安全监管和隐患治理，坚决防范和遏制各类安全生产事故发生。完成楼夏景园、欣杨景苑等11个小区105个地下非机动车库消防设施改造，对符合条件的小区地面停车棚加装简易喷淋装置，全面提升居民区御火能级。深化“全民反诈”工作格局，完善联动叠加劝阻机制，提升群众防骗意识。推动“三所联动”走深走实，体现调解过程和调</w:t>
      </w:r>
      <w:r>
        <w:rPr>
          <w:rFonts w:hint="eastAsia" w:ascii="Times New Roman" w:hAnsi="Times New Roman" w:eastAsia="仿宋_GB2312" w:cs="Times New Roman"/>
          <w:color w:val="auto"/>
          <w:sz w:val="32"/>
          <w:szCs w:val="32"/>
          <w:highlight w:val="none"/>
          <w:lang w:eastAsia="zh-CN"/>
        </w:rPr>
        <w:t>解</w:t>
      </w:r>
      <w:bookmarkStart w:id="2" w:name="_GoBack"/>
      <w:bookmarkEnd w:id="2"/>
      <w:r>
        <w:rPr>
          <w:rFonts w:hint="default" w:ascii="Times New Roman" w:hAnsi="Times New Roman" w:eastAsia="仿宋_GB2312" w:cs="Times New Roman"/>
          <w:color w:val="auto"/>
          <w:sz w:val="32"/>
          <w:szCs w:val="32"/>
          <w:highlight w:val="none"/>
        </w:rPr>
        <w:t>结果透明度，切实将“矛盾化解在基层，问题解决在萌芽”。加强实有人口管理“时、度、效”，理清社区实有人口基础数据。坚持信访事项“一站式接待、一条龙办理、一揽子解决”，全力做好重大节日、重要节点社会维稳。</w:t>
      </w:r>
    </w:p>
    <w:p>
      <w:pPr>
        <w:snapToGrid w:val="0"/>
        <w:spacing w:line="560" w:lineRule="exact"/>
        <w:ind w:firstLine="643" w:firstLineChars="200"/>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深耕城市运行“责任田”</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仿宋_GB2312" w:cs="Times New Roman"/>
          <w:bCs/>
          <w:color w:val="auto"/>
          <w:sz w:val="32"/>
          <w:szCs w:val="32"/>
          <w:highlight w:val="none"/>
        </w:rPr>
        <w:t>制定新一轮符合镇情、贴合民意的城市管理精细化提升行动计划，持续深化“三个美丽”</w:t>
      </w:r>
      <w:r>
        <w:rPr>
          <w:rFonts w:hint="default" w:ascii="Times New Roman" w:hAnsi="Times New Roman" w:eastAsia="仿宋_GB2312" w:cs="Times New Roman"/>
          <w:bCs/>
          <w:color w:val="auto"/>
          <w:sz w:val="32"/>
          <w:szCs w:val="32"/>
          <w:highlight w:val="none"/>
          <w:vertAlign w:val="superscript"/>
        </w:rPr>
        <w:t>[33]</w:t>
      </w:r>
      <w:r>
        <w:rPr>
          <w:rFonts w:hint="default" w:ascii="Times New Roman" w:hAnsi="Times New Roman" w:eastAsia="仿宋_GB2312" w:cs="Times New Roman"/>
          <w:bCs/>
          <w:color w:val="auto"/>
          <w:sz w:val="32"/>
          <w:szCs w:val="32"/>
          <w:highlight w:val="none"/>
        </w:rPr>
        <w:t>建设，着力破解跨区域、跨部门、跨层级的各类城市管理问题。</w:t>
      </w:r>
      <w:r>
        <w:rPr>
          <w:rFonts w:hint="default" w:ascii="Times New Roman" w:hAnsi="Times New Roman" w:eastAsia="仿宋_GB2312" w:cs="Times New Roman"/>
          <w:color w:val="auto"/>
          <w:sz w:val="32"/>
          <w:szCs w:val="32"/>
          <w:highlight w:val="none"/>
        </w:rPr>
        <w:t>建立健全“未诉先办+简案快办+繁案精办”及“智慧监管”平台联席会议等机制，推动“12345”市民服务热线工单办理进入快车道，确保群众诉求尽早较好得到满意答复。加强重大工程周边、城乡交界等市容环境薄弱区域的综合治理，消除管理盲区和死角；探索沿街商铺“全域门责制”</w:t>
      </w:r>
      <w:r>
        <w:rPr>
          <w:rFonts w:hint="default" w:ascii="Times New Roman" w:hAnsi="Times New Roman" w:eastAsia="仿宋_GB2312" w:cs="Times New Roman"/>
          <w:color w:val="auto"/>
          <w:sz w:val="32"/>
          <w:szCs w:val="32"/>
          <w:highlight w:val="none"/>
          <w:vertAlign w:val="superscript"/>
        </w:rPr>
        <w:t>[34]</w:t>
      </w:r>
      <w:r>
        <w:rPr>
          <w:rFonts w:hint="default" w:ascii="Times New Roman" w:hAnsi="Times New Roman" w:eastAsia="仿宋_GB2312" w:cs="Times New Roman"/>
          <w:color w:val="auto"/>
          <w:sz w:val="32"/>
          <w:szCs w:val="32"/>
          <w:highlight w:val="none"/>
        </w:rPr>
        <w:t>，市容环境卫生责任区履责率保持在90%以上，打造干净整洁、秩序井然、优美宜居的街区环境。深化城管综合执法“管执联动、人机互动”，实现市容、安全、环保等重点领域易发易返潮问题的齐抓共管。</w:t>
      </w:r>
    </w:p>
    <w:p>
      <w:pPr>
        <w:snapToGrid w:val="0"/>
        <w:spacing w:line="560" w:lineRule="exact"/>
        <w:ind w:firstLine="643"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rPr>
        <w:t>绘就基层治理“同心圆”</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仿宋_GB2312" w:cs="Times New Roman"/>
          <w:bCs/>
          <w:color w:val="auto"/>
          <w:sz w:val="32"/>
          <w:szCs w:val="32"/>
          <w:highlight w:val="none"/>
        </w:rPr>
        <w:t>持续推进既有多层住宅小区加装电梯“民生工程”，力争完成</w:t>
      </w:r>
      <w:r>
        <w:rPr>
          <w:rFonts w:hint="default" w:ascii="Times New Roman" w:hAnsi="Times New Roman" w:eastAsia="仿宋_GB2312" w:cs="Times New Roman"/>
          <w:color w:val="auto"/>
          <w:sz w:val="32"/>
          <w:szCs w:val="32"/>
          <w:highlight w:val="none"/>
        </w:rPr>
        <w:t>签约20台、开工15台、交付15台，各项指标完成率综合排名继续保持全区前列。</w:t>
      </w:r>
      <w:r>
        <w:rPr>
          <w:rFonts w:hint="default" w:ascii="Times New Roman" w:hAnsi="Times New Roman" w:eastAsia="仿宋_GB2312" w:cs="Times New Roman"/>
          <w:bCs/>
          <w:color w:val="auto"/>
          <w:sz w:val="32"/>
          <w:szCs w:val="32"/>
          <w:highlight w:val="none"/>
        </w:rPr>
        <w:t>深入推进物业“三化”</w:t>
      </w:r>
      <w:r>
        <w:rPr>
          <w:rFonts w:hint="default" w:ascii="Times New Roman" w:hAnsi="Times New Roman" w:eastAsia="仿宋_GB2312" w:cs="Times New Roman"/>
          <w:bCs/>
          <w:color w:val="auto"/>
          <w:sz w:val="32"/>
          <w:szCs w:val="32"/>
          <w:highlight w:val="none"/>
          <w:vertAlign w:val="superscript"/>
        </w:rPr>
        <w:t>[35]</w:t>
      </w:r>
      <w:r>
        <w:rPr>
          <w:rFonts w:hint="default" w:ascii="Times New Roman" w:hAnsi="Times New Roman" w:eastAsia="仿宋_GB2312" w:cs="Times New Roman"/>
          <w:bCs/>
          <w:color w:val="auto"/>
          <w:sz w:val="32"/>
          <w:szCs w:val="32"/>
          <w:highlight w:val="none"/>
        </w:rPr>
        <w:t>改革2.0，通过固化物业服务内容、调整收益分成比例、</w:t>
      </w:r>
      <w:r>
        <w:rPr>
          <w:rFonts w:hint="default" w:ascii="Times New Roman" w:hAnsi="Times New Roman" w:eastAsia="仿宋_GB2312" w:cs="Times New Roman"/>
          <w:color w:val="auto"/>
          <w:sz w:val="32"/>
          <w:szCs w:val="32"/>
          <w:highlight w:val="none"/>
        </w:rPr>
        <w:t>评估物业费调价效果等方式，着力解决政府奖补不平衡、服务标准不显化、服务水平不一致等问题，</w:t>
      </w:r>
      <w:r>
        <w:rPr>
          <w:rFonts w:hint="default" w:ascii="Times New Roman" w:hAnsi="Times New Roman" w:eastAsia="仿宋_GB2312" w:cs="Times New Roman"/>
          <w:color w:val="auto"/>
          <w:kern w:val="0"/>
          <w:sz w:val="32"/>
          <w:szCs w:val="32"/>
          <w:highlight w:val="none"/>
        </w:rPr>
        <w:t>逐步实现物业服务“</w:t>
      </w:r>
      <w:r>
        <w:rPr>
          <w:rFonts w:hint="default" w:ascii="Times New Roman" w:hAnsi="Times New Roman" w:eastAsia="仿宋_GB2312" w:cs="Times New Roman"/>
          <w:color w:val="auto"/>
          <w:sz w:val="32"/>
          <w:szCs w:val="32"/>
          <w:highlight w:val="none"/>
        </w:rPr>
        <w:t>质价相符、优质优价</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sz w:val="32"/>
          <w:szCs w:val="32"/>
          <w:highlight w:val="none"/>
        </w:rPr>
        <w:t>。发挥自治金项目在社区治理中的杠杆作用，探索自治金项目分层激励机制，形成更多可借鉴、可复制、可推广的特色项目。深入推进基层协同治理，充分调动社区能人、社区精英、物业企业、沿街商户、新就业群体等多元主体参与街区治理，聚焦市容、交通等领域难点痛点堵点问题，加强小区内外联动，形成基层治理共建共治共享格局。持续扩大“房产联盟”覆盖范围，在高东片区、新高苑片区加大房源收储力度，更好满足多层次企业人才居住需求。</w:t>
      </w:r>
    </w:p>
    <w:p>
      <w:pPr>
        <w:snapToGrid w:val="0"/>
        <w:spacing w:line="560" w:lineRule="exact"/>
        <w:ind w:firstLine="643" w:firstLineChars="200"/>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（五）忠诚履职，实干担当，高标准推动自身建设。</w:t>
      </w:r>
    </w:p>
    <w:p>
      <w:pPr>
        <w:snapToGrid w:val="0"/>
        <w:spacing w:line="560" w:lineRule="exact"/>
        <w:ind w:firstLine="630" w:firstLineChars="196"/>
        <w:rPr>
          <w:rFonts w:hint="default" w:ascii="Times New Roman" w:hAnsi="Times New Roman" w:eastAsia="楷体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做到对党忠诚、为民执政</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仿宋_GB2312" w:cs="Times New Roman"/>
          <w:bCs/>
          <w:color w:val="auto"/>
          <w:sz w:val="32"/>
          <w:szCs w:val="32"/>
          <w:highlight w:val="none"/>
        </w:rPr>
        <w:t>坚持以习近平新时代中国特色社会主义思想为指导，准确把握新发展阶段，深入贯彻新发展理念，切实增强“四个意识”，始终坚定“四个自信”，忠诚拥护“两个确立”，坚决做到“两个维护”。持续巩固和拓展党纪学习教育成果，不断在“为群众办实事、为企业解难题、为基层减负担”中提高政治判断力、政治领悟力、政治执行力，不折不扣贯彻落实好区委、区政府和镇党委各项决策部署，以实干实效回应全镇人民期待。</w:t>
      </w:r>
    </w:p>
    <w:p>
      <w:pPr>
        <w:snapToGrid w:val="0"/>
        <w:spacing w:line="560" w:lineRule="exact"/>
        <w:ind w:firstLine="630" w:firstLineChars="196"/>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rPr>
        <w:t>做到秉公用权、依法行政</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仿宋_GB2312" w:cs="Times New Roman"/>
          <w:bCs/>
          <w:color w:val="auto"/>
          <w:sz w:val="32"/>
          <w:szCs w:val="32"/>
          <w:highlight w:val="none"/>
        </w:rPr>
        <w:t>深入学习贯彻习近平法治思想，深化法治政府建设，坚持将法治思维和法治方式贯穿于政府工作的全过程、各领域。加强政府重大行政决策、重大行政执法决定、行政规范性文件、行政机关合同的合法性审查，深入推进政务公开，优化公共法律服务供给，严格规范公正文明执法。自觉接受党内监督、司法监督、社会监督、舆论监督，更好发挥审计监督、统计监督和财会监督作用。高质量办好人大代表建议，及时回应人民群众关切。</w:t>
      </w:r>
    </w:p>
    <w:p>
      <w:pPr>
        <w:snapToGrid w:val="0"/>
        <w:spacing w:line="560" w:lineRule="exact"/>
        <w:ind w:firstLine="630" w:firstLineChars="196"/>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做到严守纪律、廉洁从政</w:t>
      </w:r>
      <w:r>
        <w:rPr>
          <w:rFonts w:hint="default" w:ascii="Times New Roman" w:hAnsi="Times New Roman" w:eastAsia="楷体_GB2312" w:cs="Times New Roman"/>
          <w:b/>
          <w:bCs/>
          <w:color w:val="auto"/>
          <w:sz w:val="32"/>
          <w:szCs w:val="32"/>
          <w:highlight w:val="none"/>
        </w:rPr>
        <w:t>。</w:t>
      </w:r>
      <w:r>
        <w:rPr>
          <w:rFonts w:hint="default" w:ascii="Times New Roman" w:hAnsi="Times New Roman" w:eastAsia="仿宋_GB2312" w:cs="Times New Roman"/>
          <w:bCs/>
          <w:color w:val="auto"/>
          <w:sz w:val="32"/>
          <w:szCs w:val="32"/>
          <w:highlight w:val="none"/>
        </w:rPr>
        <w:t>深入推进党风廉政建设，严格落实“一岗双责”制度</w:t>
      </w:r>
      <w:r>
        <w:rPr>
          <w:rFonts w:hint="default" w:ascii="Times New Roman" w:hAnsi="Times New Roman" w:eastAsia="仿宋_GB2312" w:cs="Times New Roman"/>
          <w:bCs/>
          <w:color w:val="auto"/>
          <w:sz w:val="32"/>
          <w:szCs w:val="32"/>
          <w:highlight w:val="none"/>
          <w:vertAlign w:val="superscript"/>
        </w:rPr>
        <w:t>[36]</w:t>
      </w:r>
      <w:r>
        <w:rPr>
          <w:rFonts w:hint="default" w:ascii="Times New Roman" w:hAnsi="Times New Roman" w:eastAsia="仿宋_GB2312" w:cs="Times New Roman"/>
          <w:bCs/>
          <w:color w:val="auto"/>
          <w:sz w:val="32"/>
          <w:szCs w:val="32"/>
          <w:highlight w:val="none"/>
        </w:rPr>
        <w:t>，持续深化全面从严治党“四责协同”机制</w:t>
      </w:r>
      <w:r>
        <w:rPr>
          <w:rFonts w:hint="default" w:ascii="Times New Roman" w:hAnsi="Times New Roman" w:eastAsia="仿宋_GB2312" w:cs="Times New Roman"/>
          <w:bCs/>
          <w:color w:val="auto"/>
          <w:sz w:val="32"/>
          <w:szCs w:val="32"/>
          <w:highlight w:val="none"/>
          <w:vertAlign w:val="superscript"/>
        </w:rPr>
        <w:t>[37]</w:t>
      </w:r>
      <w:r>
        <w:rPr>
          <w:rFonts w:hint="default" w:ascii="Times New Roman" w:hAnsi="Times New Roman" w:eastAsia="仿宋_GB2312" w:cs="Times New Roman"/>
          <w:bCs/>
          <w:color w:val="auto"/>
          <w:sz w:val="32"/>
          <w:szCs w:val="32"/>
          <w:highlight w:val="none"/>
        </w:rPr>
        <w:t>，严格落实中央八项规定及其实施细则，</w:t>
      </w:r>
      <w:r>
        <w:rPr>
          <w:rFonts w:hint="default" w:ascii="Times New Roman" w:hAnsi="Times New Roman" w:eastAsia="仿宋_GB2312" w:cs="Times New Roman"/>
          <w:color w:val="auto"/>
          <w:sz w:val="32"/>
          <w:szCs w:val="32"/>
          <w:highlight w:val="none"/>
        </w:rPr>
        <w:t>推动全体干部知责明责、守责担责</w:t>
      </w:r>
      <w:r>
        <w:rPr>
          <w:rFonts w:hint="default" w:ascii="Times New Roman" w:hAnsi="Times New Roman" w:eastAsia="仿宋_GB2312" w:cs="Times New Roman"/>
          <w:bCs/>
          <w:color w:val="auto"/>
          <w:sz w:val="32"/>
          <w:szCs w:val="32"/>
          <w:highlight w:val="none"/>
        </w:rPr>
        <w:t>。牢固树立“过紧日子”思想，严控“三公”经费</w:t>
      </w:r>
      <w:r>
        <w:rPr>
          <w:rFonts w:hint="default" w:ascii="Times New Roman" w:hAnsi="Times New Roman" w:eastAsia="仿宋_GB2312" w:cs="Times New Roman"/>
          <w:bCs/>
          <w:color w:val="auto"/>
          <w:sz w:val="32"/>
          <w:szCs w:val="32"/>
          <w:highlight w:val="none"/>
          <w:vertAlign w:val="superscript"/>
        </w:rPr>
        <w:t>[38]</w:t>
      </w:r>
      <w:r>
        <w:rPr>
          <w:rFonts w:hint="default" w:ascii="Times New Roman" w:hAnsi="Times New Roman" w:eastAsia="仿宋_GB2312" w:cs="Times New Roman"/>
          <w:bCs/>
          <w:color w:val="auto"/>
          <w:sz w:val="32"/>
          <w:szCs w:val="32"/>
          <w:highlight w:val="none"/>
        </w:rPr>
        <w:t>和一般性支出，</w:t>
      </w:r>
      <w:r>
        <w:rPr>
          <w:rFonts w:hint="default" w:ascii="Times New Roman" w:hAnsi="Times New Roman" w:eastAsia="仿宋_GB2312" w:cs="Times New Roman"/>
          <w:color w:val="auto"/>
          <w:sz w:val="32"/>
          <w:szCs w:val="32"/>
          <w:highlight w:val="none"/>
        </w:rPr>
        <w:t>规范财政资金绩效管理，</w:t>
      </w:r>
      <w:r>
        <w:rPr>
          <w:rFonts w:hint="default" w:ascii="Times New Roman" w:hAnsi="Times New Roman" w:eastAsia="仿宋_GB2312" w:cs="Times New Roman"/>
          <w:bCs/>
          <w:color w:val="auto"/>
          <w:sz w:val="32"/>
          <w:szCs w:val="32"/>
          <w:highlight w:val="none"/>
        </w:rPr>
        <w:t>优先把资金用在保障转型发展、基本民生上，</w:t>
      </w:r>
      <w:r>
        <w:rPr>
          <w:rFonts w:hint="default" w:ascii="Times New Roman" w:hAnsi="Times New Roman" w:eastAsia="仿宋_GB2312" w:cs="Times New Roman"/>
          <w:color w:val="auto"/>
          <w:sz w:val="32"/>
          <w:szCs w:val="32"/>
          <w:highlight w:val="none"/>
        </w:rPr>
        <w:t>以政府的“紧日子”换取群众的“好日子”。持续纠治“四风”</w:t>
      </w:r>
      <w:r>
        <w:rPr>
          <w:rFonts w:hint="default" w:ascii="Times New Roman" w:hAnsi="Times New Roman" w:eastAsia="仿宋_GB2312" w:cs="Times New Roman"/>
          <w:color w:val="auto"/>
          <w:sz w:val="32"/>
          <w:szCs w:val="32"/>
          <w:highlight w:val="none"/>
          <w:vertAlign w:val="superscript"/>
        </w:rPr>
        <w:t>[39]</w:t>
      </w:r>
      <w:r>
        <w:rPr>
          <w:rFonts w:hint="default" w:ascii="Times New Roman" w:hAnsi="Times New Roman" w:eastAsia="仿宋_GB2312" w:cs="Times New Roman"/>
          <w:color w:val="auto"/>
          <w:sz w:val="32"/>
          <w:szCs w:val="32"/>
          <w:highlight w:val="none"/>
        </w:rPr>
        <w:t>，加强关键岗位风险防控，加大重点领域检查监督，始终保持惩治腐败高压态势，以清正廉洁形象取信于民、服务于民。</w:t>
      </w:r>
    </w:p>
    <w:p>
      <w:pPr>
        <w:snapToGrid w:val="0"/>
        <w:spacing w:line="56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位代表、同志们！风劲潮涌，正当扬帆破浪；任重道远，更须策马扬鞭。让我们更加紧密地团结在以习近平同志为核心的党中央周围，在区委、区政府和镇党委的坚强领导下，在镇人大的监督支持下，秉持新发展理念不动摇，锚定新阶段任务不松劲，坚持一张蓝图绘到底、一茬接着一茬干，知重负重、唯实唯勤，努力跑出“富、强、美、好”现代化主城区建设加速度，在服务和融入浦东打造社会主义现代化建设引领区的战略使命中奋力展现新作为、作出新贡献。</w:t>
      </w:r>
    </w:p>
    <w:p>
      <w:pPr>
        <w:rPr>
          <w:rFonts w:hint="default" w:ascii="Times New Roman" w:hAnsi="Times New Roman" w:cs="Times New Roman"/>
          <w:color w:val="auto"/>
          <w:highlight w:val="none"/>
        </w:rPr>
      </w:pPr>
    </w:p>
    <w:p>
      <w:pPr>
        <w:widowControl/>
        <w:jc w:val="left"/>
        <w:rPr>
          <w:rFonts w:hint="default" w:ascii="Times New Roman" w:hAnsi="Times New Roman" w:cs="Times New Roman"/>
          <w:color w:val="auto"/>
          <w:highlight w:val="none"/>
        </w:rPr>
      </w:pPr>
      <w:r>
        <w:rPr>
          <w:rFonts w:hint="default" w:ascii="Times New Roman" w:hAnsi="Times New Roman" w:cs="Times New Roman"/>
          <w:color w:val="auto"/>
          <w:highlight w:val="none"/>
        </w:rPr>
        <w:br w:type="page"/>
      </w:r>
    </w:p>
    <w:p>
      <w:pPr>
        <w:snapToGrid w:val="0"/>
        <w:spacing w:line="579"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名词解释</w:t>
      </w:r>
    </w:p>
    <w:p>
      <w:pPr>
        <w:snapToGrid w:val="0"/>
        <w:spacing w:line="579" w:lineRule="exact"/>
        <w:rPr>
          <w:rFonts w:hint="default" w:ascii="Times New Roman" w:hAnsi="Times New Roman" w:eastAsia="仿宋_GB2312" w:cs="Times New Roman"/>
          <w:color w:val="auto"/>
          <w:sz w:val="32"/>
          <w:szCs w:val="32"/>
          <w:highlight w:val="none"/>
        </w:rPr>
      </w:pPr>
    </w:p>
    <w:p>
      <w:pPr>
        <w:numPr>
          <w:ilvl w:val="0"/>
          <w:numId w:val="1"/>
        </w:numPr>
        <w:snapToGrid w:val="0"/>
        <w:spacing w:line="579"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“零增地”改扩建：以追求土地利用的质量和效益为中心，通过规范用地标准、鼓励盘活挖潜、加强动态管理等方式，引导企业在原有土地上实施技术改造、增资扩产、发展转型。</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“明珠计划”：指浦东新区计划到2025年，遴选并支持10名以上“明珠高峰人才”、300名以上“明珠领军人才”、600名以上“明珠菁英人才”、1000名以上“明珠工程师”。</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重点企业“服务包”制度：是优化营商环境、提振企业信心的重要举措，通过常态走访联系、专人服务对接，助力企业精准掌握政策、便利获取服务、高效办理需求。</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农村集体“三资”：指农村集体资金、资产和资源。</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“租税联动”：用地单位以企业当年税收形成的镇财力减免一定比例的租金，在提升土地收益和降低用地成本的同时，有效提升和优化产业结构。</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“环保管家”：以践行绿色发展理念、改善生态环境质量为核心，以环境保护需求和环境问题的有效解决为导向，向第三方服务机构购买的专业化、定制化的环境综合服务。</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“759考核断面”：指浦东新区现有的759处国考、市考、区考河道水质检测点。</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环上公园：指位于上海环城生态公园带上的公园。</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“四好农村路”：指建设好、管理好、养护好、运营好的农村公路。</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千村示范、万村整治”工程：指习近平总书记在浙江工作时亲自谋划推动的工程，从农村环境整治入手，由点及面、迭代升级，20年持续努力造就了万千美丽乡村，造福了万千农民群众，创造了推进乡村全面振兴的成功经验和实践范例。</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耕地“非农化”：指耕地被用于农业生产以外的生产经营活动。</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耕地“非粮化”：指耕地被用来种植除粮食以外的其他植物、被闲置荒芜、被用来搞养殖项目或建造建筑物等。</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“15分钟就业服务圈”：指在居民居住地周边15分钟步行或骑行可达的范围内，构建一个集就业信息发布、求职登记、职业介绍、技能培训、创业指导、政策咨询等功能于一体的综合性就业服务平台。</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“1+1+27+X”社区教育办学网络：</w:t>
      </w:r>
      <w:r>
        <w:rPr>
          <w:rFonts w:hint="default" w:ascii="Times New Roman" w:hAnsi="Times New Roman" w:eastAsia="仿宋_GB2312" w:cs="Times New Roman"/>
          <w:color w:val="auto"/>
          <w:sz w:val="32"/>
          <w:szCs w:val="32"/>
          <w:highlight w:val="none"/>
          <w:lang w:eastAsia="zh-CN"/>
        </w:rPr>
        <w:t>指</w:t>
      </w:r>
      <w:r>
        <w:rPr>
          <w:rFonts w:hint="default" w:ascii="Times New Roman" w:hAnsi="Times New Roman" w:eastAsia="仿宋_GB2312" w:cs="Times New Roman"/>
          <w:color w:val="auto"/>
          <w:sz w:val="32"/>
          <w:szCs w:val="32"/>
          <w:highlight w:val="none"/>
        </w:rPr>
        <w:t>1所社区（老年）学校、1个实地教学阵地、27个居村社区教育学习站点、X家联动单位。</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“宝宝屋”：在社区内设置嵌入式、标准化的托育服务设施，为有需求的1-3岁幼儿提供临时托、计时托等普惠托育服务的社区托育点。</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安全生产“三管三必须”：指管行业必须管安全、管业务必须管安全、管生产经营必须管安全。</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“三所联动”：指派出所、司法所、律师事务所三方共同参与基层矛盾纠纷排查化解工作的一种创新社会治理模式。</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“一网统管”：依托“城市大脑”加快建设数据汇集、系统集成、联勤联动、共享开放的城市运行综合管理一张网，推进城市治理科学化、精细化、智能化。</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“五违四必”：指违法用地、违法建筑、违法经营、违法排污、违法居住；安全隐患必须消除、违法无证建筑必须拆除、脏乱现象必须整治、违法经营必须取缔。</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路口哨兵”：一种道路安全警示系统，可对车辆移动方向、行驶速度和行动距离实时检测捕捉，通过定向语音、警示灯、LED信息屏等综合提醒方式对主路和支路通行的车辆和行人进行双向预警和诱导，从而避免交通事故的发生。</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“纪审联动”：指纪检监察与审计监督之间的贯通协同，通过信息共享、情况互通、问题线索移交等机制，实现监督资源的整合和优化配置，旨在提高监督的精准化和实效化。</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全成本绩效分析：从效益水平、业务流程、成本核算等方面进行分析，并从降低成本、提升效益、优化财政和业务管理等方面总结项目预期取得的主要成果。</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邮轮20条”：为推动邮轮产业可持续、高质量发展，结合当前邮轮产业发展趋势与外高桥地区特点，上海推出了《支持外高桥地区邮轮产业发展若干政策》，分四个方面共20条，政策适用范围为注册在外高桥地区企业。</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“两评估、一清单、一盘活”：“两评估”指产业用地综合绩效评估和综合价值评估；“一清单”指产业用地ABCD四类绩效用地清单；“一盘活”指产业用地的盘活路径和具体实施。</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“五高”联动：指外高桥保税区、外高桥集团及高行、高桥、高东三镇之间形成的联动发展</w:t>
      </w:r>
      <w:r>
        <w:rPr>
          <w:rFonts w:hint="default" w:ascii="Times New Roman" w:hAnsi="Times New Roman" w:eastAsia="仿宋_GB2312" w:cs="Times New Roman"/>
          <w:color w:val="auto"/>
          <w:sz w:val="32"/>
          <w:szCs w:val="32"/>
          <w:highlight w:val="none"/>
          <w:lang w:eastAsia="zh-CN"/>
        </w:rPr>
        <w:t>机制</w:t>
      </w:r>
      <w:r>
        <w:rPr>
          <w:rFonts w:hint="default" w:ascii="Times New Roman" w:hAnsi="Times New Roman" w:eastAsia="仿宋_GB2312" w:cs="Times New Roman"/>
          <w:color w:val="auto"/>
          <w:sz w:val="32"/>
          <w:szCs w:val="32"/>
          <w:highlight w:val="none"/>
        </w:rPr>
        <w:t>。</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“小升规”：指小微工业企业升级为规模以上工业企业。</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“3+3+N”土地储备模式：制定3年土地储备计划，每年度根据轻重缓急，分3个批次以内进行申报立项，每批次根据地块相邻位置以及其他情况排定N个地块。</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“清四乱”行动：对乱占、乱采、乱堆、乱建等河湖管理保护突出问题开展专项清理整治行动。</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“马路拉链”：</w:t>
      </w:r>
      <w:r>
        <w:rPr>
          <w:rFonts w:hint="default" w:ascii="Times New Roman" w:hAnsi="Times New Roman" w:eastAsia="仿宋_GB2312" w:cs="Times New Roman"/>
          <w:bCs/>
          <w:color w:val="auto"/>
          <w:sz w:val="32"/>
          <w:szCs w:val="32"/>
          <w:highlight w:val="none"/>
        </w:rPr>
        <w:t>指道路反复开挖和修复的现象。</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“老吾老计划”：为失能老年人的家庭照顾者提供照护知识与技能培训，以实训式的“集中教学”和“个体辅导”相结合的方式，为失能老年人家庭照护提供支持性服务，缓解居家照护的服务压力。</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“老伙伴计划”：以结对互助的方式，由低龄老年志愿者向高龄老人提供家庭互助服务，预防或降低风险的发生，促进高龄老年人的生活质量和社会交往。</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“1+10+X”应急预案体系：指1个总体应急预案、10个特定专项应急预案、X个根据辖区特色制定的专项或部门预案。</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“三个美丽”：指美丽街区、美丽家园、美丽乡村。</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“全域门责制”：指在一个特定的区域内，所有相关的责任单位都需要对其门前的环境、秩序承担一定的责任和义务。</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物业“三化”：指区域化管理、市场化运作、专业化服务的物业管理模式。</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“一岗双责”制度：“一岗”指一个领导干部的职务所对应的岗位；“双责”指一个领导干部既要对所在岗位应当承担的具体业务工作负责，又要对所在岗位应当承担的党风廉政建设责任制负责。</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Cs/>
          <w:color w:val="auto"/>
          <w:sz w:val="32"/>
          <w:szCs w:val="32"/>
          <w:highlight w:val="none"/>
        </w:rPr>
        <w:t>全面从严治党“四责协同”机制</w:t>
      </w:r>
      <w:r>
        <w:rPr>
          <w:rFonts w:hint="default" w:ascii="Times New Roman" w:hAnsi="Times New Roman" w:eastAsia="仿宋_GB2312" w:cs="Times New Roman"/>
          <w:color w:val="auto"/>
          <w:sz w:val="32"/>
          <w:szCs w:val="32"/>
          <w:highlight w:val="none"/>
        </w:rPr>
        <w:t>：指把党委主体责任、纪委监督责任、党委书记第一责任和班子成员“一岗双责”的横向协同协作与纵向压力传导结合起来，推动知责明责、履责督责、考责问责等各个环节形成责任闭环，构建形成主体明晰、有机协同、层层传导、问责有力的全面从严治党主体责任落实机制。</w:t>
      </w:r>
    </w:p>
    <w:p>
      <w:pPr>
        <w:numPr>
          <w:ilvl w:val="0"/>
          <w:numId w:val="1"/>
        </w:numPr>
        <w:snapToGrid w:val="0"/>
        <w:spacing w:line="579" w:lineRule="exact"/>
        <w:ind w:left="0" w:leftChars="0" w:firstLine="624"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snapToGrid w:val="0"/>
          <w:color w:val="auto"/>
          <w:spacing w:val="-4"/>
          <w:sz w:val="32"/>
          <w:szCs w:val="32"/>
          <w:highlight w:val="none"/>
        </w:rPr>
        <w:t>“三公”经费：因公出国（境）、公务用车购置及运行、公务接待所产生的费用。</w:t>
      </w:r>
    </w:p>
    <w:p>
      <w:pPr>
        <w:numPr>
          <w:ilvl w:val="0"/>
          <w:numId w:val="1"/>
        </w:numPr>
        <w:snapToGrid w:val="0"/>
        <w:spacing w:line="579" w:lineRule="exact"/>
        <w:ind w:left="0" w:leftChars="0"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“四风”：指形式主义、官僚主义、享乐主义和奢靡之风。</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9811469"/>
    </w:sdtPr>
    <w:sdtEndPr>
      <w:rPr>
        <w:rFonts w:hint="eastAsia" w:ascii="仿宋_GB2312" w:eastAsia="仿宋_GB2312"/>
        <w:sz w:val="30"/>
        <w:szCs w:val="30"/>
      </w:rPr>
    </w:sdtEndPr>
    <w:sdtContent>
      <w:p>
        <w:pPr>
          <w:pStyle w:val="5"/>
          <w:jc w:val="center"/>
        </w:pPr>
        <w:r>
          <w:rPr>
            <w:rFonts w:hint="eastAsia" w:ascii="仿宋_GB2312" w:eastAsia="仿宋_GB2312"/>
            <w:sz w:val="30"/>
            <w:szCs w:val="30"/>
          </w:rPr>
          <w:fldChar w:fldCharType="begin"/>
        </w:r>
        <w:r>
          <w:rPr>
            <w:rFonts w:hint="eastAsia" w:ascii="仿宋_GB2312" w:eastAsia="仿宋_GB2312"/>
            <w:sz w:val="30"/>
            <w:szCs w:val="30"/>
          </w:rPr>
          <w:instrText xml:space="preserve"> PAGE   \* MERGEFORMAT </w:instrText>
        </w:r>
        <w:r>
          <w:rPr>
            <w:rFonts w:hint="eastAsia" w:ascii="仿宋_GB2312" w:eastAsia="仿宋_GB2312"/>
            <w:sz w:val="30"/>
            <w:szCs w:val="30"/>
          </w:rPr>
          <w:fldChar w:fldCharType="separate"/>
        </w:r>
        <w:r>
          <w:rPr>
            <w:rFonts w:ascii="仿宋_GB2312" w:eastAsia="仿宋_GB2312"/>
            <w:sz w:val="30"/>
            <w:szCs w:val="30"/>
            <w:lang w:val="zh-CN"/>
          </w:rPr>
          <w:t>-</w:t>
        </w:r>
        <w:r>
          <w:rPr>
            <w:rFonts w:ascii="仿宋_GB2312" w:eastAsia="仿宋_GB2312"/>
            <w:sz w:val="30"/>
            <w:szCs w:val="30"/>
          </w:rPr>
          <w:t xml:space="preserve"> 23 -</w:t>
        </w:r>
        <w:r>
          <w:rPr>
            <w:rFonts w:hint="eastAsia" w:ascii="仿宋_GB2312" w:eastAsia="仿宋_GB2312"/>
            <w:sz w:val="30"/>
            <w:szCs w:val="30"/>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858FF"/>
    <w:multiLevelType w:val="singleLevel"/>
    <w:tmpl w:val="1F1858F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YzYjBhMDZkOGI3ODNlZDdmODI2ODA4YzE4MTAwMjUifQ=="/>
    <w:docVar w:name="KSO_WPS_MARK_KEY" w:val="7ec3881c-c4b3-41be-ad33-51feb12ea65b"/>
  </w:docVars>
  <w:rsids>
    <w:rsidRoot w:val="001104BD"/>
    <w:rsid w:val="00000437"/>
    <w:rsid w:val="0000673E"/>
    <w:rsid w:val="00013591"/>
    <w:rsid w:val="00013C84"/>
    <w:rsid w:val="00025AE2"/>
    <w:rsid w:val="00027FDA"/>
    <w:rsid w:val="000348BD"/>
    <w:rsid w:val="00036C90"/>
    <w:rsid w:val="00042B54"/>
    <w:rsid w:val="00047FA7"/>
    <w:rsid w:val="00050205"/>
    <w:rsid w:val="00050313"/>
    <w:rsid w:val="000520E6"/>
    <w:rsid w:val="00052881"/>
    <w:rsid w:val="00057FC6"/>
    <w:rsid w:val="000713D2"/>
    <w:rsid w:val="00073F3D"/>
    <w:rsid w:val="00083716"/>
    <w:rsid w:val="00086FB9"/>
    <w:rsid w:val="0008762E"/>
    <w:rsid w:val="0009615C"/>
    <w:rsid w:val="000A0E3C"/>
    <w:rsid w:val="000B0378"/>
    <w:rsid w:val="000B0FCF"/>
    <w:rsid w:val="000B42D9"/>
    <w:rsid w:val="000B463E"/>
    <w:rsid w:val="000B5FE7"/>
    <w:rsid w:val="000B7664"/>
    <w:rsid w:val="000C2E9A"/>
    <w:rsid w:val="000D1EB5"/>
    <w:rsid w:val="000D53F6"/>
    <w:rsid w:val="000D5543"/>
    <w:rsid w:val="000D6DD7"/>
    <w:rsid w:val="000E213F"/>
    <w:rsid w:val="000E4636"/>
    <w:rsid w:val="000F06CE"/>
    <w:rsid w:val="000F5BCC"/>
    <w:rsid w:val="001000AF"/>
    <w:rsid w:val="001104BD"/>
    <w:rsid w:val="00111C9B"/>
    <w:rsid w:val="0011273C"/>
    <w:rsid w:val="00113680"/>
    <w:rsid w:val="00117F41"/>
    <w:rsid w:val="001300FD"/>
    <w:rsid w:val="00131A51"/>
    <w:rsid w:val="00134357"/>
    <w:rsid w:val="00137490"/>
    <w:rsid w:val="001376F3"/>
    <w:rsid w:val="001426B7"/>
    <w:rsid w:val="001540F7"/>
    <w:rsid w:val="00157BE8"/>
    <w:rsid w:val="001601F2"/>
    <w:rsid w:val="0016332F"/>
    <w:rsid w:val="00165249"/>
    <w:rsid w:val="00171677"/>
    <w:rsid w:val="001718A1"/>
    <w:rsid w:val="00174AA6"/>
    <w:rsid w:val="00176574"/>
    <w:rsid w:val="00180485"/>
    <w:rsid w:val="00180B8E"/>
    <w:rsid w:val="0018219A"/>
    <w:rsid w:val="00186F48"/>
    <w:rsid w:val="001915FE"/>
    <w:rsid w:val="00191A52"/>
    <w:rsid w:val="00192697"/>
    <w:rsid w:val="001931CD"/>
    <w:rsid w:val="001949D9"/>
    <w:rsid w:val="001A5A4E"/>
    <w:rsid w:val="001A6AB9"/>
    <w:rsid w:val="001A7FD0"/>
    <w:rsid w:val="001B14B0"/>
    <w:rsid w:val="001B17B2"/>
    <w:rsid w:val="001B74FB"/>
    <w:rsid w:val="001C2214"/>
    <w:rsid w:val="001C4A35"/>
    <w:rsid w:val="001C5162"/>
    <w:rsid w:val="001C66A5"/>
    <w:rsid w:val="001D1471"/>
    <w:rsid w:val="001D3D4F"/>
    <w:rsid w:val="001D44EA"/>
    <w:rsid w:val="001D48DE"/>
    <w:rsid w:val="001D757A"/>
    <w:rsid w:val="001E6C2A"/>
    <w:rsid w:val="001F04F1"/>
    <w:rsid w:val="001F54BD"/>
    <w:rsid w:val="002012A5"/>
    <w:rsid w:val="00201F5A"/>
    <w:rsid w:val="0020523F"/>
    <w:rsid w:val="00207ABD"/>
    <w:rsid w:val="00212139"/>
    <w:rsid w:val="00212AF5"/>
    <w:rsid w:val="00214A07"/>
    <w:rsid w:val="0021664C"/>
    <w:rsid w:val="00217247"/>
    <w:rsid w:val="00220713"/>
    <w:rsid w:val="00222C7F"/>
    <w:rsid w:val="00226C16"/>
    <w:rsid w:val="002304E6"/>
    <w:rsid w:val="002336E1"/>
    <w:rsid w:val="00245C0F"/>
    <w:rsid w:val="00245EF0"/>
    <w:rsid w:val="0025377C"/>
    <w:rsid w:val="00254755"/>
    <w:rsid w:val="002572AA"/>
    <w:rsid w:val="00260867"/>
    <w:rsid w:val="0026130D"/>
    <w:rsid w:val="002629A9"/>
    <w:rsid w:val="002630A0"/>
    <w:rsid w:val="002674D8"/>
    <w:rsid w:val="00267CFE"/>
    <w:rsid w:val="00275A1D"/>
    <w:rsid w:val="002761AA"/>
    <w:rsid w:val="0027638F"/>
    <w:rsid w:val="0027783C"/>
    <w:rsid w:val="00281F62"/>
    <w:rsid w:val="00290B21"/>
    <w:rsid w:val="002914AB"/>
    <w:rsid w:val="00292D05"/>
    <w:rsid w:val="00294905"/>
    <w:rsid w:val="002A2EF9"/>
    <w:rsid w:val="002A3075"/>
    <w:rsid w:val="002B089A"/>
    <w:rsid w:val="002B139F"/>
    <w:rsid w:val="002B5E7F"/>
    <w:rsid w:val="002C3088"/>
    <w:rsid w:val="002C7AFA"/>
    <w:rsid w:val="002D014F"/>
    <w:rsid w:val="002D2442"/>
    <w:rsid w:val="002E092D"/>
    <w:rsid w:val="002E2E21"/>
    <w:rsid w:val="002E3AAA"/>
    <w:rsid w:val="002E3BFB"/>
    <w:rsid w:val="002F0C3A"/>
    <w:rsid w:val="002F326F"/>
    <w:rsid w:val="00300D0A"/>
    <w:rsid w:val="00301F88"/>
    <w:rsid w:val="00307A5C"/>
    <w:rsid w:val="0031185E"/>
    <w:rsid w:val="00312101"/>
    <w:rsid w:val="003128B0"/>
    <w:rsid w:val="00321414"/>
    <w:rsid w:val="00326E75"/>
    <w:rsid w:val="0032706F"/>
    <w:rsid w:val="00331B27"/>
    <w:rsid w:val="00332E86"/>
    <w:rsid w:val="00336431"/>
    <w:rsid w:val="00345777"/>
    <w:rsid w:val="003468A9"/>
    <w:rsid w:val="0035069B"/>
    <w:rsid w:val="00351E4C"/>
    <w:rsid w:val="003610DB"/>
    <w:rsid w:val="003671DE"/>
    <w:rsid w:val="00372EBE"/>
    <w:rsid w:val="00373611"/>
    <w:rsid w:val="0038246A"/>
    <w:rsid w:val="00383AC2"/>
    <w:rsid w:val="0038706D"/>
    <w:rsid w:val="00387223"/>
    <w:rsid w:val="0038747B"/>
    <w:rsid w:val="0039547E"/>
    <w:rsid w:val="00395DF9"/>
    <w:rsid w:val="003966F6"/>
    <w:rsid w:val="003A0D5B"/>
    <w:rsid w:val="003A29C6"/>
    <w:rsid w:val="003A31D5"/>
    <w:rsid w:val="003A4322"/>
    <w:rsid w:val="003B1544"/>
    <w:rsid w:val="003B2AE6"/>
    <w:rsid w:val="003B699C"/>
    <w:rsid w:val="003C176B"/>
    <w:rsid w:val="003C2245"/>
    <w:rsid w:val="003C58BB"/>
    <w:rsid w:val="003D6D20"/>
    <w:rsid w:val="003D7219"/>
    <w:rsid w:val="003E3643"/>
    <w:rsid w:val="003E7449"/>
    <w:rsid w:val="003E75DA"/>
    <w:rsid w:val="003F1BC5"/>
    <w:rsid w:val="00400C4C"/>
    <w:rsid w:val="00401FEF"/>
    <w:rsid w:val="00402F42"/>
    <w:rsid w:val="00405C85"/>
    <w:rsid w:val="00410014"/>
    <w:rsid w:val="004118D0"/>
    <w:rsid w:val="00412847"/>
    <w:rsid w:val="00414CB8"/>
    <w:rsid w:val="004246D0"/>
    <w:rsid w:val="004255EF"/>
    <w:rsid w:val="00430026"/>
    <w:rsid w:val="00434DDD"/>
    <w:rsid w:val="00434EF1"/>
    <w:rsid w:val="00435BD6"/>
    <w:rsid w:val="00435E87"/>
    <w:rsid w:val="004371E8"/>
    <w:rsid w:val="00443222"/>
    <w:rsid w:val="0044583C"/>
    <w:rsid w:val="004501E0"/>
    <w:rsid w:val="00451AD9"/>
    <w:rsid w:val="00451B65"/>
    <w:rsid w:val="0045682A"/>
    <w:rsid w:val="00463788"/>
    <w:rsid w:val="0046471E"/>
    <w:rsid w:val="004650C2"/>
    <w:rsid w:val="00475AB3"/>
    <w:rsid w:val="00483199"/>
    <w:rsid w:val="004858E1"/>
    <w:rsid w:val="0048647E"/>
    <w:rsid w:val="00492EF9"/>
    <w:rsid w:val="004949F9"/>
    <w:rsid w:val="00494A8F"/>
    <w:rsid w:val="004970A4"/>
    <w:rsid w:val="004A0691"/>
    <w:rsid w:val="004A1C01"/>
    <w:rsid w:val="004A7AAE"/>
    <w:rsid w:val="004B430D"/>
    <w:rsid w:val="004B6885"/>
    <w:rsid w:val="004D2757"/>
    <w:rsid w:val="004D73A6"/>
    <w:rsid w:val="004D7730"/>
    <w:rsid w:val="004E2BB9"/>
    <w:rsid w:val="004E32F8"/>
    <w:rsid w:val="004E546C"/>
    <w:rsid w:val="004E5EBD"/>
    <w:rsid w:val="004F0D4E"/>
    <w:rsid w:val="004F4AB6"/>
    <w:rsid w:val="004F51C3"/>
    <w:rsid w:val="00501414"/>
    <w:rsid w:val="00503584"/>
    <w:rsid w:val="00511F66"/>
    <w:rsid w:val="0051207B"/>
    <w:rsid w:val="005122CF"/>
    <w:rsid w:val="00512378"/>
    <w:rsid w:val="00513EA3"/>
    <w:rsid w:val="005210D2"/>
    <w:rsid w:val="005231F9"/>
    <w:rsid w:val="005248B9"/>
    <w:rsid w:val="00533FE8"/>
    <w:rsid w:val="00535840"/>
    <w:rsid w:val="00540AEE"/>
    <w:rsid w:val="00546547"/>
    <w:rsid w:val="005472CE"/>
    <w:rsid w:val="00554523"/>
    <w:rsid w:val="005633DC"/>
    <w:rsid w:val="00565548"/>
    <w:rsid w:val="005759AA"/>
    <w:rsid w:val="005767F0"/>
    <w:rsid w:val="00576C45"/>
    <w:rsid w:val="00582586"/>
    <w:rsid w:val="00594CF5"/>
    <w:rsid w:val="005951CC"/>
    <w:rsid w:val="005979C7"/>
    <w:rsid w:val="005A3D77"/>
    <w:rsid w:val="005B0588"/>
    <w:rsid w:val="005B0B72"/>
    <w:rsid w:val="005B4721"/>
    <w:rsid w:val="005B7D6E"/>
    <w:rsid w:val="005C0566"/>
    <w:rsid w:val="005C1691"/>
    <w:rsid w:val="005C3915"/>
    <w:rsid w:val="005C55A4"/>
    <w:rsid w:val="005C7FEB"/>
    <w:rsid w:val="005D3FC8"/>
    <w:rsid w:val="005D77C2"/>
    <w:rsid w:val="005D7C57"/>
    <w:rsid w:val="005E174E"/>
    <w:rsid w:val="005E2212"/>
    <w:rsid w:val="005E6857"/>
    <w:rsid w:val="005F0976"/>
    <w:rsid w:val="005F4784"/>
    <w:rsid w:val="005F7E8D"/>
    <w:rsid w:val="006070F8"/>
    <w:rsid w:val="00627E6B"/>
    <w:rsid w:val="0063041A"/>
    <w:rsid w:val="00633121"/>
    <w:rsid w:val="00634A43"/>
    <w:rsid w:val="00635468"/>
    <w:rsid w:val="006418AF"/>
    <w:rsid w:val="00645E30"/>
    <w:rsid w:val="00646F2A"/>
    <w:rsid w:val="00650B16"/>
    <w:rsid w:val="006539A7"/>
    <w:rsid w:val="00654AF5"/>
    <w:rsid w:val="00656411"/>
    <w:rsid w:val="00656F7A"/>
    <w:rsid w:val="0066380C"/>
    <w:rsid w:val="00674FE7"/>
    <w:rsid w:val="006758D6"/>
    <w:rsid w:val="00676CBC"/>
    <w:rsid w:val="00681027"/>
    <w:rsid w:val="0068183D"/>
    <w:rsid w:val="006843C0"/>
    <w:rsid w:val="0069492C"/>
    <w:rsid w:val="00694A20"/>
    <w:rsid w:val="0069566D"/>
    <w:rsid w:val="006A2904"/>
    <w:rsid w:val="006A32F0"/>
    <w:rsid w:val="006B6BCC"/>
    <w:rsid w:val="006C05F6"/>
    <w:rsid w:val="006C1DF5"/>
    <w:rsid w:val="006C5D13"/>
    <w:rsid w:val="006C6BDB"/>
    <w:rsid w:val="006C7E82"/>
    <w:rsid w:val="006D0768"/>
    <w:rsid w:val="006D22F7"/>
    <w:rsid w:val="006D2D71"/>
    <w:rsid w:val="006D360B"/>
    <w:rsid w:val="006D5D9A"/>
    <w:rsid w:val="006D6CB7"/>
    <w:rsid w:val="006E72DE"/>
    <w:rsid w:val="006F0636"/>
    <w:rsid w:val="006F0B25"/>
    <w:rsid w:val="00703B8E"/>
    <w:rsid w:val="00710994"/>
    <w:rsid w:val="00712914"/>
    <w:rsid w:val="00712A56"/>
    <w:rsid w:val="0071555D"/>
    <w:rsid w:val="007200AE"/>
    <w:rsid w:val="00720A9E"/>
    <w:rsid w:val="00724936"/>
    <w:rsid w:val="00730754"/>
    <w:rsid w:val="00737522"/>
    <w:rsid w:val="00740B63"/>
    <w:rsid w:val="0074158C"/>
    <w:rsid w:val="00743AAD"/>
    <w:rsid w:val="007555CB"/>
    <w:rsid w:val="00763D0F"/>
    <w:rsid w:val="00763F38"/>
    <w:rsid w:val="007666D3"/>
    <w:rsid w:val="00770036"/>
    <w:rsid w:val="007704C2"/>
    <w:rsid w:val="00771F02"/>
    <w:rsid w:val="00773C49"/>
    <w:rsid w:val="007754EE"/>
    <w:rsid w:val="00775C96"/>
    <w:rsid w:val="007779B0"/>
    <w:rsid w:val="007811E1"/>
    <w:rsid w:val="00785838"/>
    <w:rsid w:val="00785ADF"/>
    <w:rsid w:val="00786B16"/>
    <w:rsid w:val="0078775E"/>
    <w:rsid w:val="00790AF8"/>
    <w:rsid w:val="007952F3"/>
    <w:rsid w:val="007A21AE"/>
    <w:rsid w:val="007A36DD"/>
    <w:rsid w:val="007A4F08"/>
    <w:rsid w:val="007B2609"/>
    <w:rsid w:val="007C23D5"/>
    <w:rsid w:val="007C3E36"/>
    <w:rsid w:val="007C76A1"/>
    <w:rsid w:val="007D1ABA"/>
    <w:rsid w:val="007D573E"/>
    <w:rsid w:val="007D75B3"/>
    <w:rsid w:val="007D7BFC"/>
    <w:rsid w:val="007E4107"/>
    <w:rsid w:val="007E53DF"/>
    <w:rsid w:val="007F1148"/>
    <w:rsid w:val="007F2604"/>
    <w:rsid w:val="007F2C2F"/>
    <w:rsid w:val="00805A85"/>
    <w:rsid w:val="00820237"/>
    <w:rsid w:val="008224A9"/>
    <w:rsid w:val="00822F42"/>
    <w:rsid w:val="0082382E"/>
    <w:rsid w:val="00825CF5"/>
    <w:rsid w:val="00827DE2"/>
    <w:rsid w:val="0083357D"/>
    <w:rsid w:val="0083636D"/>
    <w:rsid w:val="008369B2"/>
    <w:rsid w:val="00842F61"/>
    <w:rsid w:val="008446F5"/>
    <w:rsid w:val="008479E3"/>
    <w:rsid w:val="0085436C"/>
    <w:rsid w:val="0086304B"/>
    <w:rsid w:val="00866D88"/>
    <w:rsid w:val="00870098"/>
    <w:rsid w:val="00870EB7"/>
    <w:rsid w:val="00873458"/>
    <w:rsid w:val="00873A80"/>
    <w:rsid w:val="008741C0"/>
    <w:rsid w:val="008811BC"/>
    <w:rsid w:val="00890201"/>
    <w:rsid w:val="00891AAA"/>
    <w:rsid w:val="00896961"/>
    <w:rsid w:val="00897BD6"/>
    <w:rsid w:val="008A21F8"/>
    <w:rsid w:val="008A527A"/>
    <w:rsid w:val="008A6124"/>
    <w:rsid w:val="008B2047"/>
    <w:rsid w:val="008B61A1"/>
    <w:rsid w:val="008C2860"/>
    <w:rsid w:val="008C2AE4"/>
    <w:rsid w:val="008C3660"/>
    <w:rsid w:val="008C61C4"/>
    <w:rsid w:val="008C66B6"/>
    <w:rsid w:val="008D4370"/>
    <w:rsid w:val="008D5C3E"/>
    <w:rsid w:val="008E36C2"/>
    <w:rsid w:val="008E3D81"/>
    <w:rsid w:val="008F66B4"/>
    <w:rsid w:val="00900A92"/>
    <w:rsid w:val="0090302A"/>
    <w:rsid w:val="009068F7"/>
    <w:rsid w:val="00917681"/>
    <w:rsid w:val="00920068"/>
    <w:rsid w:val="009209A9"/>
    <w:rsid w:val="009276EA"/>
    <w:rsid w:val="00937454"/>
    <w:rsid w:val="00942C1D"/>
    <w:rsid w:val="00945DA2"/>
    <w:rsid w:val="00946283"/>
    <w:rsid w:val="009573B1"/>
    <w:rsid w:val="00962CE4"/>
    <w:rsid w:val="009668D1"/>
    <w:rsid w:val="00967CF9"/>
    <w:rsid w:val="00975540"/>
    <w:rsid w:val="00981280"/>
    <w:rsid w:val="0098465F"/>
    <w:rsid w:val="00994171"/>
    <w:rsid w:val="009A0381"/>
    <w:rsid w:val="009A0BEE"/>
    <w:rsid w:val="009A5941"/>
    <w:rsid w:val="009A5ECF"/>
    <w:rsid w:val="009C121E"/>
    <w:rsid w:val="009E01A7"/>
    <w:rsid w:val="009E38F5"/>
    <w:rsid w:val="009E3BB2"/>
    <w:rsid w:val="009E622B"/>
    <w:rsid w:val="009F023D"/>
    <w:rsid w:val="009F57E8"/>
    <w:rsid w:val="009F5C7C"/>
    <w:rsid w:val="009F6568"/>
    <w:rsid w:val="00A02D1B"/>
    <w:rsid w:val="00A03C52"/>
    <w:rsid w:val="00A14474"/>
    <w:rsid w:val="00A1679E"/>
    <w:rsid w:val="00A20932"/>
    <w:rsid w:val="00A23D1A"/>
    <w:rsid w:val="00A3158E"/>
    <w:rsid w:val="00A32232"/>
    <w:rsid w:val="00A34BFA"/>
    <w:rsid w:val="00A53A5B"/>
    <w:rsid w:val="00A57C61"/>
    <w:rsid w:val="00A60EA8"/>
    <w:rsid w:val="00A65F3C"/>
    <w:rsid w:val="00A71676"/>
    <w:rsid w:val="00A72A2F"/>
    <w:rsid w:val="00A815C8"/>
    <w:rsid w:val="00A84864"/>
    <w:rsid w:val="00A84AFB"/>
    <w:rsid w:val="00A862E0"/>
    <w:rsid w:val="00A9377E"/>
    <w:rsid w:val="00A94C09"/>
    <w:rsid w:val="00A96682"/>
    <w:rsid w:val="00A967ED"/>
    <w:rsid w:val="00A9775D"/>
    <w:rsid w:val="00AA29EA"/>
    <w:rsid w:val="00AA37C2"/>
    <w:rsid w:val="00AA5DDE"/>
    <w:rsid w:val="00AA5F5F"/>
    <w:rsid w:val="00AA7452"/>
    <w:rsid w:val="00AB103E"/>
    <w:rsid w:val="00AB17A7"/>
    <w:rsid w:val="00AC36FB"/>
    <w:rsid w:val="00AC7EA9"/>
    <w:rsid w:val="00AD0244"/>
    <w:rsid w:val="00AD119A"/>
    <w:rsid w:val="00AE1A21"/>
    <w:rsid w:val="00AE6E2F"/>
    <w:rsid w:val="00AF1911"/>
    <w:rsid w:val="00AF6FE8"/>
    <w:rsid w:val="00B04310"/>
    <w:rsid w:val="00B07029"/>
    <w:rsid w:val="00B07C6F"/>
    <w:rsid w:val="00B1442D"/>
    <w:rsid w:val="00B224B2"/>
    <w:rsid w:val="00B33A99"/>
    <w:rsid w:val="00B45AF6"/>
    <w:rsid w:val="00B53660"/>
    <w:rsid w:val="00B56D57"/>
    <w:rsid w:val="00B648CD"/>
    <w:rsid w:val="00B67438"/>
    <w:rsid w:val="00B74C28"/>
    <w:rsid w:val="00B75158"/>
    <w:rsid w:val="00B75830"/>
    <w:rsid w:val="00B85637"/>
    <w:rsid w:val="00B86A9E"/>
    <w:rsid w:val="00B86F57"/>
    <w:rsid w:val="00B914D3"/>
    <w:rsid w:val="00B95FEB"/>
    <w:rsid w:val="00B974D2"/>
    <w:rsid w:val="00BA3A7A"/>
    <w:rsid w:val="00BA3E1F"/>
    <w:rsid w:val="00BC1BE9"/>
    <w:rsid w:val="00BC2509"/>
    <w:rsid w:val="00BD558E"/>
    <w:rsid w:val="00BE0295"/>
    <w:rsid w:val="00BE09C5"/>
    <w:rsid w:val="00BE7E5D"/>
    <w:rsid w:val="00BF02EE"/>
    <w:rsid w:val="00BF0C94"/>
    <w:rsid w:val="00BF7DAB"/>
    <w:rsid w:val="00C0394C"/>
    <w:rsid w:val="00C13879"/>
    <w:rsid w:val="00C14AA3"/>
    <w:rsid w:val="00C14B76"/>
    <w:rsid w:val="00C160DF"/>
    <w:rsid w:val="00C16DE0"/>
    <w:rsid w:val="00C1716B"/>
    <w:rsid w:val="00C20C59"/>
    <w:rsid w:val="00C21C8E"/>
    <w:rsid w:val="00C25700"/>
    <w:rsid w:val="00C31CAE"/>
    <w:rsid w:val="00C373EB"/>
    <w:rsid w:val="00C37496"/>
    <w:rsid w:val="00C4653F"/>
    <w:rsid w:val="00C46AEE"/>
    <w:rsid w:val="00C57DAB"/>
    <w:rsid w:val="00C57F38"/>
    <w:rsid w:val="00C633C6"/>
    <w:rsid w:val="00C649C5"/>
    <w:rsid w:val="00C66EAC"/>
    <w:rsid w:val="00C71591"/>
    <w:rsid w:val="00C74F83"/>
    <w:rsid w:val="00C74FFB"/>
    <w:rsid w:val="00C76F6A"/>
    <w:rsid w:val="00C85E24"/>
    <w:rsid w:val="00C85F8B"/>
    <w:rsid w:val="00C903B2"/>
    <w:rsid w:val="00C97A6C"/>
    <w:rsid w:val="00C97C93"/>
    <w:rsid w:val="00C97D9A"/>
    <w:rsid w:val="00CA1382"/>
    <w:rsid w:val="00CA7C23"/>
    <w:rsid w:val="00CB052C"/>
    <w:rsid w:val="00CC546B"/>
    <w:rsid w:val="00CC6A0C"/>
    <w:rsid w:val="00CE22E0"/>
    <w:rsid w:val="00CE5375"/>
    <w:rsid w:val="00CE754E"/>
    <w:rsid w:val="00CF7F88"/>
    <w:rsid w:val="00D03CF2"/>
    <w:rsid w:val="00D05C8A"/>
    <w:rsid w:val="00D05F23"/>
    <w:rsid w:val="00D24642"/>
    <w:rsid w:val="00D30D86"/>
    <w:rsid w:val="00D376C6"/>
    <w:rsid w:val="00D411AB"/>
    <w:rsid w:val="00D508FE"/>
    <w:rsid w:val="00D53862"/>
    <w:rsid w:val="00D54D79"/>
    <w:rsid w:val="00D55A87"/>
    <w:rsid w:val="00D56FEB"/>
    <w:rsid w:val="00D57C61"/>
    <w:rsid w:val="00D64E95"/>
    <w:rsid w:val="00D64F95"/>
    <w:rsid w:val="00D9450E"/>
    <w:rsid w:val="00DA5D4D"/>
    <w:rsid w:val="00DB7235"/>
    <w:rsid w:val="00DB7B72"/>
    <w:rsid w:val="00DC0CB5"/>
    <w:rsid w:val="00DC18E7"/>
    <w:rsid w:val="00DD2D39"/>
    <w:rsid w:val="00DD78A2"/>
    <w:rsid w:val="00DE18DE"/>
    <w:rsid w:val="00DE2625"/>
    <w:rsid w:val="00DE5B91"/>
    <w:rsid w:val="00DF29BE"/>
    <w:rsid w:val="00DF29E1"/>
    <w:rsid w:val="00E01448"/>
    <w:rsid w:val="00E0178C"/>
    <w:rsid w:val="00E01F17"/>
    <w:rsid w:val="00E05EFD"/>
    <w:rsid w:val="00E20CA4"/>
    <w:rsid w:val="00E22DF8"/>
    <w:rsid w:val="00E23A12"/>
    <w:rsid w:val="00E25EF4"/>
    <w:rsid w:val="00E27380"/>
    <w:rsid w:val="00E27EF4"/>
    <w:rsid w:val="00E30577"/>
    <w:rsid w:val="00E361C5"/>
    <w:rsid w:val="00E36288"/>
    <w:rsid w:val="00E4165B"/>
    <w:rsid w:val="00E47EA4"/>
    <w:rsid w:val="00E530E5"/>
    <w:rsid w:val="00E5479B"/>
    <w:rsid w:val="00E639A4"/>
    <w:rsid w:val="00E6661C"/>
    <w:rsid w:val="00E750CC"/>
    <w:rsid w:val="00E8711B"/>
    <w:rsid w:val="00E87678"/>
    <w:rsid w:val="00E90628"/>
    <w:rsid w:val="00E92C00"/>
    <w:rsid w:val="00E9471E"/>
    <w:rsid w:val="00E96599"/>
    <w:rsid w:val="00E97E42"/>
    <w:rsid w:val="00EA38E3"/>
    <w:rsid w:val="00EA6499"/>
    <w:rsid w:val="00EA790D"/>
    <w:rsid w:val="00EB03B5"/>
    <w:rsid w:val="00EB4CFC"/>
    <w:rsid w:val="00EC0663"/>
    <w:rsid w:val="00EC0F9F"/>
    <w:rsid w:val="00ED4231"/>
    <w:rsid w:val="00EE2679"/>
    <w:rsid w:val="00EE2707"/>
    <w:rsid w:val="00EE56D5"/>
    <w:rsid w:val="00EE7562"/>
    <w:rsid w:val="00EF21EB"/>
    <w:rsid w:val="00EF5C62"/>
    <w:rsid w:val="00F0089C"/>
    <w:rsid w:val="00F026D1"/>
    <w:rsid w:val="00F0293D"/>
    <w:rsid w:val="00F04726"/>
    <w:rsid w:val="00F055C5"/>
    <w:rsid w:val="00F0606B"/>
    <w:rsid w:val="00F154B5"/>
    <w:rsid w:val="00F178D1"/>
    <w:rsid w:val="00F254C4"/>
    <w:rsid w:val="00F30A22"/>
    <w:rsid w:val="00F31417"/>
    <w:rsid w:val="00F35033"/>
    <w:rsid w:val="00F40402"/>
    <w:rsid w:val="00F46A17"/>
    <w:rsid w:val="00F47656"/>
    <w:rsid w:val="00F630C9"/>
    <w:rsid w:val="00F653C6"/>
    <w:rsid w:val="00F6641E"/>
    <w:rsid w:val="00F70AB6"/>
    <w:rsid w:val="00F74D6D"/>
    <w:rsid w:val="00F806F1"/>
    <w:rsid w:val="00F83102"/>
    <w:rsid w:val="00F8388D"/>
    <w:rsid w:val="00F85F63"/>
    <w:rsid w:val="00F93E2E"/>
    <w:rsid w:val="00F93FDE"/>
    <w:rsid w:val="00F94D55"/>
    <w:rsid w:val="00F96361"/>
    <w:rsid w:val="00F97FAE"/>
    <w:rsid w:val="00FA3E4A"/>
    <w:rsid w:val="00FA4ED4"/>
    <w:rsid w:val="00FA6949"/>
    <w:rsid w:val="00FA7FA3"/>
    <w:rsid w:val="00FB1589"/>
    <w:rsid w:val="00FB1F29"/>
    <w:rsid w:val="00FB469B"/>
    <w:rsid w:val="00FB52E4"/>
    <w:rsid w:val="00FC41D7"/>
    <w:rsid w:val="00FD1591"/>
    <w:rsid w:val="00FD59AF"/>
    <w:rsid w:val="00FD63AA"/>
    <w:rsid w:val="00FD66FB"/>
    <w:rsid w:val="00FE007B"/>
    <w:rsid w:val="00FE0369"/>
    <w:rsid w:val="00FE24F6"/>
    <w:rsid w:val="00FE2B2E"/>
    <w:rsid w:val="00FE2E79"/>
    <w:rsid w:val="00FE4E58"/>
    <w:rsid w:val="00FE7365"/>
    <w:rsid w:val="00FF03EF"/>
    <w:rsid w:val="00FF1075"/>
    <w:rsid w:val="011B7573"/>
    <w:rsid w:val="018A58CB"/>
    <w:rsid w:val="01F62F61"/>
    <w:rsid w:val="021872CE"/>
    <w:rsid w:val="02753E85"/>
    <w:rsid w:val="032A1207"/>
    <w:rsid w:val="034A70C0"/>
    <w:rsid w:val="03864EFF"/>
    <w:rsid w:val="040C25C7"/>
    <w:rsid w:val="042518DB"/>
    <w:rsid w:val="042711AF"/>
    <w:rsid w:val="04275653"/>
    <w:rsid w:val="043B6381"/>
    <w:rsid w:val="04671EF4"/>
    <w:rsid w:val="055406CA"/>
    <w:rsid w:val="05740424"/>
    <w:rsid w:val="06222576"/>
    <w:rsid w:val="06693D01"/>
    <w:rsid w:val="068C3E93"/>
    <w:rsid w:val="06F86E33"/>
    <w:rsid w:val="071E5852"/>
    <w:rsid w:val="0765695A"/>
    <w:rsid w:val="07830DF3"/>
    <w:rsid w:val="07A373EA"/>
    <w:rsid w:val="07BB058C"/>
    <w:rsid w:val="07CD6512"/>
    <w:rsid w:val="07F25F78"/>
    <w:rsid w:val="08275C22"/>
    <w:rsid w:val="08556700"/>
    <w:rsid w:val="085670DA"/>
    <w:rsid w:val="08591B53"/>
    <w:rsid w:val="085B3309"/>
    <w:rsid w:val="0889068B"/>
    <w:rsid w:val="0963712E"/>
    <w:rsid w:val="09954E0D"/>
    <w:rsid w:val="09CD27F9"/>
    <w:rsid w:val="09DA6CC4"/>
    <w:rsid w:val="09FB1114"/>
    <w:rsid w:val="0A0D52EB"/>
    <w:rsid w:val="0A157CFC"/>
    <w:rsid w:val="0A474359"/>
    <w:rsid w:val="0A592759"/>
    <w:rsid w:val="0A622F41"/>
    <w:rsid w:val="0B666A61"/>
    <w:rsid w:val="0BC13363"/>
    <w:rsid w:val="0BC8771C"/>
    <w:rsid w:val="0BDA5B72"/>
    <w:rsid w:val="0BF056CB"/>
    <w:rsid w:val="0C2D57D1"/>
    <w:rsid w:val="0C5823BF"/>
    <w:rsid w:val="0C9807BE"/>
    <w:rsid w:val="0DAE649D"/>
    <w:rsid w:val="0E176739"/>
    <w:rsid w:val="0E263FC5"/>
    <w:rsid w:val="0F340C24"/>
    <w:rsid w:val="0FED2EFD"/>
    <w:rsid w:val="0FF61E7A"/>
    <w:rsid w:val="103233B6"/>
    <w:rsid w:val="103F5AD3"/>
    <w:rsid w:val="10A818CA"/>
    <w:rsid w:val="10BB33AB"/>
    <w:rsid w:val="10EF0934"/>
    <w:rsid w:val="1122342A"/>
    <w:rsid w:val="11B6563A"/>
    <w:rsid w:val="12BE3627"/>
    <w:rsid w:val="12CD386A"/>
    <w:rsid w:val="12DC3AAD"/>
    <w:rsid w:val="12F92BFB"/>
    <w:rsid w:val="13274D28"/>
    <w:rsid w:val="13A520F1"/>
    <w:rsid w:val="142D2812"/>
    <w:rsid w:val="146855F8"/>
    <w:rsid w:val="14904B4F"/>
    <w:rsid w:val="14E32ED1"/>
    <w:rsid w:val="151B10BA"/>
    <w:rsid w:val="1571672E"/>
    <w:rsid w:val="158A5A42"/>
    <w:rsid w:val="17BB0135"/>
    <w:rsid w:val="17E21B65"/>
    <w:rsid w:val="180970F2"/>
    <w:rsid w:val="18170233"/>
    <w:rsid w:val="181C1A30"/>
    <w:rsid w:val="186E213F"/>
    <w:rsid w:val="19107CCA"/>
    <w:rsid w:val="19173A91"/>
    <w:rsid w:val="19404D95"/>
    <w:rsid w:val="197113F3"/>
    <w:rsid w:val="1994084C"/>
    <w:rsid w:val="19E576EB"/>
    <w:rsid w:val="1A440C91"/>
    <w:rsid w:val="1A4E34E2"/>
    <w:rsid w:val="1B18188F"/>
    <w:rsid w:val="1BA333BA"/>
    <w:rsid w:val="1BF038C8"/>
    <w:rsid w:val="1C142509"/>
    <w:rsid w:val="1C4050AC"/>
    <w:rsid w:val="1C767B21"/>
    <w:rsid w:val="1D8F1E47"/>
    <w:rsid w:val="1DF95513"/>
    <w:rsid w:val="1E9E60BA"/>
    <w:rsid w:val="1EE937D9"/>
    <w:rsid w:val="1EEA12FF"/>
    <w:rsid w:val="1FC87893"/>
    <w:rsid w:val="20F85F56"/>
    <w:rsid w:val="210112AE"/>
    <w:rsid w:val="211D3C0E"/>
    <w:rsid w:val="21415B4F"/>
    <w:rsid w:val="214E5B76"/>
    <w:rsid w:val="219A525F"/>
    <w:rsid w:val="21C66054"/>
    <w:rsid w:val="21CA5B44"/>
    <w:rsid w:val="221B014E"/>
    <w:rsid w:val="22432FD4"/>
    <w:rsid w:val="225418B2"/>
    <w:rsid w:val="22B81E40"/>
    <w:rsid w:val="22F5491A"/>
    <w:rsid w:val="23682531"/>
    <w:rsid w:val="23B048C6"/>
    <w:rsid w:val="23BC14BC"/>
    <w:rsid w:val="24375E34"/>
    <w:rsid w:val="248875F1"/>
    <w:rsid w:val="24975A86"/>
    <w:rsid w:val="255E37A3"/>
    <w:rsid w:val="259A582D"/>
    <w:rsid w:val="259D531E"/>
    <w:rsid w:val="25CB59E7"/>
    <w:rsid w:val="25FC0296"/>
    <w:rsid w:val="263E265D"/>
    <w:rsid w:val="26BB5A5B"/>
    <w:rsid w:val="26DD00C8"/>
    <w:rsid w:val="26F6655E"/>
    <w:rsid w:val="27027B2E"/>
    <w:rsid w:val="27743E5C"/>
    <w:rsid w:val="277B57A8"/>
    <w:rsid w:val="27FC13A7"/>
    <w:rsid w:val="284B1061"/>
    <w:rsid w:val="286D0FD7"/>
    <w:rsid w:val="290D27BA"/>
    <w:rsid w:val="29121B7F"/>
    <w:rsid w:val="29220014"/>
    <w:rsid w:val="2AFA28CA"/>
    <w:rsid w:val="2B6D7278"/>
    <w:rsid w:val="2C8C5C50"/>
    <w:rsid w:val="2CB25B52"/>
    <w:rsid w:val="2CE37ABA"/>
    <w:rsid w:val="2D214E0A"/>
    <w:rsid w:val="2D856BEC"/>
    <w:rsid w:val="2DA23821"/>
    <w:rsid w:val="2DCF0F92"/>
    <w:rsid w:val="2DF950BB"/>
    <w:rsid w:val="2E1819EE"/>
    <w:rsid w:val="2E206AEC"/>
    <w:rsid w:val="2EAE5EA6"/>
    <w:rsid w:val="2ECD27D0"/>
    <w:rsid w:val="2F25085E"/>
    <w:rsid w:val="2F8A06C1"/>
    <w:rsid w:val="2FE336DB"/>
    <w:rsid w:val="2FF71C25"/>
    <w:rsid w:val="30E127D5"/>
    <w:rsid w:val="30ED52A6"/>
    <w:rsid w:val="31327ECB"/>
    <w:rsid w:val="31551390"/>
    <w:rsid w:val="317F0E37"/>
    <w:rsid w:val="31BB1005"/>
    <w:rsid w:val="31C82E1B"/>
    <w:rsid w:val="31D04A59"/>
    <w:rsid w:val="31DB3455"/>
    <w:rsid w:val="32CE7231"/>
    <w:rsid w:val="333378C0"/>
    <w:rsid w:val="333D3C9C"/>
    <w:rsid w:val="336A2CE3"/>
    <w:rsid w:val="33AD2BD0"/>
    <w:rsid w:val="33FE78CF"/>
    <w:rsid w:val="34202060"/>
    <w:rsid w:val="34337579"/>
    <w:rsid w:val="34362BC5"/>
    <w:rsid w:val="344277BC"/>
    <w:rsid w:val="344C23E9"/>
    <w:rsid w:val="34713BFD"/>
    <w:rsid w:val="349667E8"/>
    <w:rsid w:val="34A97799"/>
    <w:rsid w:val="34CC177B"/>
    <w:rsid w:val="34E326FC"/>
    <w:rsid w:val="356674DA"/>
    <w:rsid w:val="358F7A72"/>
    <w:rsid w:val="35C661CB"/>
    <w:rsid w:val="35DA1C76"/>
    <w:rsid w:val="360D5BA8"/>
    <w:rsid w:val="36513CE6"/>
    <w:rsid w:val="37040D59"/>
    <w:rsid w:val="37227431"/>
    <w:rsid w:val="37555A58"/>
    <w:rsid w:val="3772660A"/>
    <w:rsid w:val="37892452"/>
    <w:rsid w:val="379A2F97"/>
    <w:rsid w:val="38123949"/>
    <w:rsid w:val="383438BF"/>
    <w:rsid w:val="38871C41"/>
    <w:rsid w:val="3986639D"/>
    <w:rsid w:val="399A3BF6"/>
    <w:rsid w:val="399D36E6"/>
    <w:rsid w:val="39BC591B"/>
    <w:rsid w:val="3A2B0CF2"/>
    <w:rsid w:val="3A371445"/>
    <w:rsid w:val="3B295232"/>
    <w:rsid w:val="3BBA40DC"/>
    <w:rsid w:val="3BC211E2"/>
    <w:rsid w:val="3C2974B3"/>
    <w:rsid w:val="3C3A346E"/>
    <w:rsid w:val="3CCF70E3"/>
    <w:rsid w:val="3D31435C"/>
    <w:rsid w:val="3D673DEF"/>
    <w:rsid w:val="3D6F7148"/>
    <w:rsid w:val="3DA768E2"/>
    <w:rsid w:val="3E344619"/>
    <w:rsid w:val="3E495BEB"/>
    <w:rsid w:val="3EAD43CC"/>
    <w:rsid w:val="3EB72DCB"/>
    <w:rsid w:val="3F075CC4"/>
    <w:rsid w:val="3F5B39FD"/>
    <w:rsid w:val="3F71263C"/>
    <w:rsid w:val="3F9F3D14"/>
    <w:rsid w:val="3FB07525"/>
    <w:rsid w:val="3FBB6674"/>
    <w:rsid w:val="3FF878C8"/>
    <w:rsid w:val="400B13AA"/>
    <w:rsid w:val="406C47B6"/>
    <w:rsid w:val="411A40CF"/>
    <w:rsid w:val="41CC4B69"/>
    <w:rsid w:val="41CF2C3D"/>
    <w:rsid w:val="41D81760"/>
    <w:rsid w:val="41D850C4"/>
    <w:rsid w:val="42925DB2"/>
    <w:rsid w:val="42E163F2"/>
    <w:rsid w:val="42F425C9"/>
    <w:rsid w:val="42F500EF"/>
    <w:rsid w:val="434B5F61"/>
    <w:rsid w:val="43E42DB6"/>
    <w:rsid w:val="43F565F9"/>
    <w:rsid w:val="44290050"/>
    <w:rsid w:val="443F72CB"/>
    <w:rsid w:val="44472BCC"/>
    <w:rsid w:val="4447497A"/>
    <w:rsid w:val="452B429C"/>
    <w:rsid w:val="452C4F46"/>
    <w:rsid w:val="45513D03"/>
    <w:rsid w:val="45815C6A"/>
    <w:rsid w:val="45D84426"/>
    <w:rsid w:val="45E14788"/>
    <w:rsid w:val="45E2495B"/>
    <w:rsid w:val="462E7BA0"/>
    <w:rsid w:val="46405B25"/>
    <w:rsid w:val="465A6BE7"/>
    <w:rsid w:val="46C5493C"/>
    <w:rsid w:val="474A6C5C"/>
    <w:rsid w:val="47620EE7"/>
    <w:rsid w:val="476D64A6"/>
    <w:rsid w:val="47C3256A"/>
    <w:rsid w:val="48052B82"/>
    <w:rsid w:val="488162D3"/>
    <w:rsid w:val="48AE321A"/>
    <w:rsid w:val="48DF5182"/>
    <w:rsid w:val="48F149AB"/>
    <w:rsid w:val="48F52BF7"/>
    <w:rsid w:val="49146DB6"/>
    <w:rsid w:val="495A1223"/>
    <w:rsid w:val="4961604F"/>
    <w:rsid w:val="49834A60"/>
    <w:rsid w:val="49DA5835"/>
    <w:rsid w:val="4A372D9B"/>
    <w:rsid w:val="4A817F9B"/>
    <w:rsid w:val="4AD150C5"/>
    <w:rsid w:val="4B300DEA"/>
    <w:rsid w:val="4B323CCC"/>
    <w:rsid w:val="4B571947"/>
    <w:rsid w:val="4BE11211"/>
    <w:rsid w:val="4BF4363A"/>
    <w:rsid w:val="4C1C32C3"/>
    <w:rsid w:val="4CE065EC"/>
    <w:rsid w:val="4D0C6761"/>
    <w:rsid w:val="4D1F46E6"/>
    <w:rsid w:val="4D2A444B"/>
    <w:rsid w:val="4D6B3488"/>
    <w:rsid w:val="4D6E4D26"/>
    <w:rsid w:val="4D8B3B2A"/>
    <w:rsid w:val="4DF72F6D"/>
    <w:rsid w:val="4DFA0CB0"/>
    <w:rsid w:val="4E3C3076"/>
    <w:rsid w:val="4E597784"/>
    <w:rsid w:val="4E944C60"/>
    <w:rsid w:val="4EBE3A8B"/>
    <w:rsid w:val="4F3D68A3"/>
    <w:rsid w:val="4FA26F09"/>
    <w:rsid w:val="4FA62C70"/>
    <w:rsid w:val="4FC43323"/>
    <w:rsid w:val="50371D47"/>
    <w:rsid w:val="509C1BAA"/>
    <w:rsid w:val="50E13A61"/>
    <w:rsid w:val="51054C52"/>
    <w:rsid w:val="51452242"/>
    <w:rsid w:val="516C6703"/>
    <w:rsid w:val="519D2E8C"/>
    <w:rsid w:val="51D04201"/>
    <w:rsid w:val="51FA74D0"/>
    <w:rsid w:val="523A5B1F"/>
    <w:rsid w:val="525B526C"/>
    <w:rsid w:val="52705E6E"/>
    <w:rsid w:val="528F7C18"/>
    <w:rsid w:val="52C35B14"/>
    <w:rsid w:val="53163E96"/>
    <w:rsid w:val="53177C0E"/>
    <w:rsid w:val="537137C2"/>
    <w:rsid w:val="538434F5"/>
    <w:rsid w:val="53B611D5"/>
    <w:rsid w:val="53DD49B3"/>
    <w:rsid w:val="53E50362"/>
    <w:rsid w:val="549E4143"/>
    <w:rsid w:val="55164621"/>
    <w:rsid w:val="553C5017"/>
    <w:rsid w:val="55567F3C"/>
    <w:rsid w:val="55AA4D69"/>
    <w:rsid w:val="55C91693"/>
    <w:rsid w:val="55E069DD"/>
    <w:rsid w:val="55F12998"/>
    <w:rsid w:val="55FF3307"/>
    <w:rsid w:val="56206DD9"/>
    <w:rsid w:val="56FC7846"/>
    <w:rsid w:val="574A6804"/>
    <w:rsid w:val="574C432A"/>
    <w:rsid w:val="577E46FF"/>
    <w:rsid w:val="57EE3633"/>
    <w:rsid w:val="580746F5"/>
    <w:rsid w:val="58445001"/>
    <w:rsid w:val="585316E8"/>
    <w:rsid w:val="58B101BD"/>
    <w:rsid w:val="593C0774"/>
    <w:rsid w:val="59934492"/>
    <w:rsid w:val="59EC3BA2"/>
    <w:rsid w:val="5B01367D"/>
    <w:rsid w:val="5B2E3D47"/>
    <w:rsid w:val="5BD42B40"/>
    <w:rsid w:val="5E0A45F7"/>
    <w:rsid w:val="5E6D4B86"/>
    <w:rsid w:val="5E8A398A"/>
    <w:rsid w:val="5EE237C6"/>
    <w:rsid w:val="5EE50BC0"/>
    <w:rsid w:val="5F04373C"/>
    <w:rsid w:val="5F045E54"/>
    <w:rsid w:val="5F4F0E5B"/>
    <w:rsid w:val="6008100A"/>
    <w:rsid w:val="604D4C6F"/>
    <w:rsid w:val="60870181"/>
    <w:rsid w:val="609452E7"/>
    <w:rsid w:val="609D7126"/>
    <w:rsid w:val="61371BA7"/>
    <w:rsid w:val="6164483A"/>
    <w:rsid w:val="61B825BC"/>
    <w:rsid w:val="62774225"/>
    <w:rsid w:val="62913539"/>
    <w:rsid w:val="62AA63A9"/>
    <w:rsid w:val="62BA2CFA"/>
    <w:rsid w:val="62D358FF"/>
    <w:rsid w:val="632048BD"/>
    <w:rsid w:val="63AB3AFB"/>
    <w:rsid w:val="63E87188"/>
    <w:rsid w:val="643A375C"/>
    <w:rsid w:val="646F3406"/>
    <w:rsid w:val="64852C29"/>
    <w:rsid w:val="65102E3B"/>
    <w:rsid w:val="656839B7"/>
    <w:rsid w:val="657131AE"/>
    <w:rsid w:val="65C37FE8"/>
    <w:rsid w:val="65CD2ADA"/>
    <w:rsid w:val="65E53661"/>
    <w:rsid w:val="66434B4A"/>
    <w:rsid w:val="664B39FF"/>
    <w:rsid w:val="66D24120"/>
    <w:rsid w:val="67291611"/>
    <w:rsid w:val="67303449"/>
    <w:rsid w:val="67BF4EA4"/>
    <w:rsid w:val="67BF6452"/>
    <w:rsid w:val="67FD341E"/>
    <w:rsid w:val="68014CBD"/>
    <w:rsid w:val="688128E0"/>
    <w:rsid w:val="688D6550"/>
    <w:rsid w:val="68A5389A"/>
    <w:rsid w:val="6934718B"/>
    <w:rsid w:val="6956728E"/>
    <w:rsid w:val="696F5C56"/>
    <w:rsid w:val="69845BA5"/>
    <w:rsid w:val="69BD4C13"/>
    <w:rsid w:val="69E82B0F"/>
    <w:rsid w:val="6A025186"/>
    <w:rsid w:val="6A641533"/>
    <w:rsid w:val="6A6E4160"/>
    <w:rsid w:val="6ACF10A2"/>
    <w:rsid w:val="6B464BBC"/>
    <w:rsid w:val="6BAA7419"/>
    <w:rsid w:val="6BB34520"/>
    <w:rsid w:val="6C2E1DF8"/>
    <w:rsid w:val="6C4E4249"/>
    <w:rsid w:val="6CCD1611"/>
    <w:rsid w:val="6CD429A0"/>
    <w:rsid w:val="6CDC1854"/>
    <w:rsid w:val="6D322934"/>
    <w:rsid w:val="6D934D9D"/>
    <w:rsid w:val="6DA57E98"/>
    <w:rsid w:val="6DAD24E8"/>
    <w:rsid w:val="6DF8036A"/>
    <w:rsid w:val="6DFB5D0A"/>
    <w:rsid w:val="6E1B63AC"/>
    <w:rsid w:val="6E3B07FD"/>
    <w:rsid w:val="6EA60FA1"/>
    <w:rsid w:val="6EA838C1"/>
    <w:rsid w:val="6F310257"/>
    <w:rsid w:val="6F58665F"/>
    <w:rsid w:val="6F7F4719"/>
    <w:rsid w:val="6FA10B33"/>
    <w:rsid w:val="6FC0720B"/>
    <w:rsid w:val="6FC30AAA"/>
    <w:rsid w:val="6FDD7DBD"/>
    <w:rsid w:val="6FE27182"/>
    <w:rsid w:val="6FEF189F"/>
    <w:rsid w:val="703D6AAE"/>
    <w:rsid w:val="70A1703D"/>
    <w:rsid w:val="70FC5928"/>
    <w:rsid w:val="71094BE2"/>
    <w:rsid w:val="712E52F8"/>
    <w:rsid w:val="71630796"/>
    <w:rsid w:val="71B40FF2"/>
    <w:rsid w:val="71CD3E62"/>
    <w:rsid w:val="71F4319C"/>
    <w:rsid w:val="72113D4E"/>
    <w:rsid w:val="722A3062"/>
    <w:rsid w:val="72564634"/>
    <w:rsid w:val="725D6382"/>
    <w:rsid w:val="726227FC"/>
    <w:rsid w:val="73124222"/>
    <w:rsid w:val="731C0BFD"/>
    <w:rsid w:val="73B452D9"/>
    <w:rsid w:val="742B729F"/>
    <w:rsid w:val="743106D8"/>
    <w:rsid w:val="7431692A"/>
    <w:rsid w:val="746F7452"/>
    <w:rsid w:val="74711155"/>
    <w:rsid w:val="74EB4D2A"/>
    <w:rsid w:val="751F2C26"/>
    <w:rsid w:val="755A1EB0"/>
    <w:rsid w:val="75E77A7B"/>
    <w:rsid w:val="760763B8"/>
    <w:rsid w:val="76B63116"/>
    <w:rsid w:val="76FF4ABD"/>
    <w:rsid w:val="785F4137"/>
    <w:rsid w:val="78882890"/>
    <w:rsid w:val="788C0411"/>
    <w:rsid w:val="788D60F9"/>
    <w:rsid w:val="78C935D5"/>
    <w:rsid w:val="79222CE5"/>
    <w:rsid w:val="79702308"/>
    <w:rsid w:val="799A0ACD"/>
    <w:rsid w:val="79E955B1"/>
    <w:rsid w:val="7A010B4C"/>
    <w:rsid w:val="7A3B22B0"/>
    <w:rsid w:val="7A3E3B4E"/>
    <w:rsid w:val="7A6D4434"/>
    <w:rsid w:val="7A7237F8"/>
    <w:rsid w:val="7B8D6D92"/>
    <w:rsid w:val="7C4371FA"/>
    <w:rsid w:val="7C961A20"/>
    <w:rsid w:val="7CB24380"/>
    <w:rsid w:val="7CEA3B1A"/>
    <w:rsid w:val="7D26114E"/>
    <w:rsid w:val="7D3A39AA"/>
    <w:rsid w:val="7D5611AF"/>
    <w:rsid w:val="7DC26844"/>
    <w:rsid w:val="7E192908"/>
    <w:rsid w:val="7E1A3F8B"/>
    <w:rsid w:val="7E5C27F5"/>
    <w:rsid w:val="7EAA7A04"/>
    <w:rsid w:val="7F8E2E82"/>
    <w:rsid w:val="7F9A6D57"/>
    <w:rsid w:val="7FCC39AA"/>
    <w:rsid w:val="7FFE2A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3"/>
    <w:basedOn w:val="1"/>
    <w:next w:val="1"/>
    <w:link w:val="15"/>
    <w:unhideWhenUsed/>
    <w:qFormat/>
    <w:uiPriority w:val="0"/>
    <w:pPr>
      <w:keepNext/>
      <w:keepLines/>
      <w:ind w:firstLine="880" w:firstLineChars="200"/>
      <w:outlineLvl w:val="2"/>
    </w:pPr>
    <w:rPr>
      <w:rFonts w:eastAsia="楷体_GB2312"/>
      <w:sz w:val="32"/>
      <w:szCs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6"/>
    <w:semiHidden/>
    <w:unhideWhenUsed/>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bCs/>
    </w:rPr>
  </w:style>
  <w:style w:type="character" w:styleId="10">
    <w:name w:val="Emphasis"/>
    <w:basedOn w:val="8"/>
    <w:qFormat/>
    <w:uiPriority w:val="20"/>
    <w:rPr>
      <w:i/>
    </w:r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公文正文"/>
    <w:basedOn w:val="1"/>
    <w:qFormat/>
    <w:uiPriority w:val="0"/>
    <w:pPr>
      <w:adjustRightInd w:val="0"/>
      <w:snapToGrid w:val="0"/>
      <w:spacing w:line="336" w:lineRule="auto"/>
      <w:ind w:firstLine="640" w:firstLineChars="200"/>
    </w:pPr>
    <w:rPr>
      <w:rFonts w:hint="eastAsia" w:ascii="Times New Roman" w:hAnsi="Times New Roman" w:eastAsia="仿宋_GB2312" w:cs="仿宋_GB2312"/>
      <w:kern w:val="0"/>
      <w:sz w:val="32"/>
      <w:szCs w:val="32"/>
    </w:rPr>
  </w:style>
  <w:style w:type="character" w:customStyle="1" w:styleId="15">
    <w:name w:val="标题 3 Char"/>
    <w:basedOn w:val="8"/>
    <w:link w:val="3"/>
    <w:qFormat/>
    <w:uiPriority w:val="0"/>
    <w:rPr>
      <w:rFonts w:eastAsia="楷体_GB2312"/>
      <w:sz w:val="32"/>
      <w:szCs w:val="24"/>
    </w:rPr>
  </w:style>
  <w:style w:type="character" w:customStyle="1" w:styleId="16">
    <w:name w:val="批注框文本 Char"/>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16D36-0011-4FDA-BC05-B3A5440FE5DD}">
  <ds:schemaRefs/>
</ds:datastoreItem>
</file>

<file path=docProps/app.xml><?xml version="1.0" encoding="utf-8"?>
<Properties xmlns="http://schemas.openxmlformats.org/officeDocument/2006/extended-properties" xmlns:vt="http://schemas.openxmlformats.org/officeDocument/2006/docPropsVTypes">
  <Template>Normal</Template>
  <Pages>28</Pages>
  <Words>2416</Words>
  <Characters>13773</Characters>
  <Lines>114</Lines>
  <Paragraphs>32</Paragraphs>
  <TotalTime>50</TotalTime>
  <ScaleCrop>false</ScaleCrop>
  <LinksUpToDate>false</LinksUpToDate>
  <CharactersWithSpaces>16157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2024-12-07T05:34:00Z</dcterms:created>
  <dc:creator>seajay</dc:creator>
  <cp:lastModifiedBy>陈军</cp:lastModifiedBy>
  <cp:lastPrinted>2024-12-20T04:47:00Z</cp:lastPrinted>
  <dcterms:modified xsi:type="dcterms:W3CDTF">2025-01-20T09:26:47Z</dcterms:modified>
  <cp:revision>708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DD9627F8597042E08A8138E213AE5D9E_12</vt:lpwstr>
  </property>
</Properties>
</file>