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宋体" w:eastAsia="黑体" w:cs="黑体"/>
          <w:b/>
          <w:sz w:val="32"/>
          <w:szCs w:val="32"/>
          <w:lang w:val="en-US" w:eastAsia="zh-CN" w:bidi="ar"/>
        </w:rPr>
      </w:pPr>
      <w:r>
        <w:rPr>
          <w:rFonts w:hint="eastAsia" w:ascii="黑体" w:hAnsi="宋体" w:eastAsia="黑体" w:cs="黑体"/>
          <w:b/>
          <w:sz w:val="32"/>
          <w:szCs w:val="32"/>
          <w:lang w:val="en-US" w:eastAsia="zh-CN" w:bidi="ar"/>
        </w:rPr>
        <w:t>附件1：</w:t>
      </w:r>
    </w:p>
    <w:p>
      <w:pPr>
        <w:jc w:val="center"/>
        <w:rPr>
          <w:rFonts w:ascii="黑体" w:hAnsi="宋体" w:eastAsia="黑体" w:cs="黑体"/>
          <w:b/>
          <w:sz w:val="36"/>
          <w:szCs w:val="36"/>
        </w:rPr>
      </w:pPr>
      <w:r>
        <w:rPr>
          <w:rFonts w:hint="eastAsia" w:ascii="黑体" w:hAnsi="宋体" w:eastAsia="黑体" w:cs="黑体"/>
          <w:b/>
          <w:sz w:val="32"/>
          <w:szCs w:val="32"/>
          <w:lang w:val="en-US" w:eastAsia="zh-CN" w:bidi="ar"/>
        </w:rPr>
        <w:t>上海市轨道交通21号线一期工程金桥站附属设施（3A、3B号出入口，2、3号垂直电梯，6、7、8号安全出口，消防专用出入口，2号风亭组，冷却塔及室外设备机组）</w:t>
      </w:r>
      <w:r>
        <w:rPr>
          <w:rFonts w:hint="eastAsia" w:ascii="黑体" w:hAnsi="宋体" w:eastAsia="黑体" w:cs="黑体"/>
          <w:b/>
          <w:sz w:val="32"/>
          <w:szCs w:val="32"/>
          <w:lang w:bidi="ar"/>
        </w:rPr>
        <w:t xml:space="preserve">  </w:t>
      </w:r>
      <w:r>
        <w:rPr>
          <w:rFonts w:hint="eastAsia" w:ascii="宋体" w:hAnsi="宋体" w:eastAsia="宋体" w:cs="宋体"/>
          <w:b/>
          <w:sz w:val="36"/>
          <w:szCs w:val="36"/>
          <w:lang w:bidi="ar"/>
        </w:rPr>
        <w:t xml:space="preserve">                     </w:t>
      </w:r>
      <w:r>
        <w:rPr>
          <w:rFonts w:hint="eastAsia" w:ascii="黑体" w:hAnsi="宋体" w:eastAsia="黑体" w:cs="黑体"/>
          <w:b/>
          <w:sz w:val="32"/>
          <w:szCs w:val="32"/>
          <w:lang w:bidi="ar"/>
        </w:rPr>
        <w:t>国有土地上</w:t>
      </w:r>
      <w:r>
        <w:rPr>
          <w:rFonts w:hint="eastAsia" w:ascii="黑体" w:hAnsi="宋体" w:eastAsia="黑体" w:cs="黑体"/>
          <w:b/>
          <w:sz w:val="32"/>
          <w:szCs w:val="32"/>
          <w:lang w:eastAsia="zh-CN" w:bidi="ar"/>
        </w:rPr>
        <w:t>非居住</w:t>
      </w:r>
      <w:r>
        <w:rPr>
          <w:rFonts w:hint="eastAsia" w:ascii="黑体" w:hAnsi="宋体" w:eastAsia="黑体" w:cs="黑体"/>
          <w:b/>
          <w:sz w:val="32"/>
          <w:szCs w:val="32"/>
          <w:lang w:bidi="ar"/>
        </w:rPr>
        <w:t>房屋征收补偿方案</w:t>
      </w:r>
    </w:p>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一、房屋征收与补偿的法律依据</w:t>
      </w:r>
    </w:p>
    <w:p>
      <w:pPr>
        <w:keepNext w:val="0"/>
        <w:keepLines w:val="0"/>
        <w:widowControl/>
        <w:suppressLineNumbers w:val="0"/>
        <w:ind w:firstLine="644" w:firstLineChars="200"/>
        <w:jc w:val="left"/>
        <w:rPr>
          <w:rFonts w:hint="default"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（一）《国有土地上房屋征收与补偿条例》（国务院令第590号）；</w:t>
      </w:r>
    </w:p>
    <w:p>
      <w:pPr>
        <w:keepNext w:val="0"/>
        <w:keepLines w:val="0"/>
        <w:widowControl/>
        <w:suppressLineNumbers w:val="0"/>
        <w:ind w:firstLine="644" w:firstLineChars="200"/>
        <w:jc w:val="left"/>
        <w:rPr>
          <w:rFonts w:hint="default" w:ascii="仿宋" w:hAnsi="仿宋" w:eastAsia="仿宋" w:cs="宋体"/>
          <w:spacing w:val="11"/>
          <w:kern w:val="2"/>
          <w:sz w:val="30"/>
          <w:szCs w:val="30"/>
          <w:highlight w:val="none"/>
          <w:lang w:val="en-US" w:eastAsia="zh-CN" w:bidi="ar-SA"/>
        </w:rPr>
      </w:pPr>
      <w:r>
        <w:rPr>
          <w:rFonts w:hint="eastAsia" w:ascii="仿宋" w:hAnsi="仿宋" w:eastAsia="仿宋" w:cs="宋体"/>
          <w:spacing w:val="11"/>
          <w:kern w:val="2"/>
          <w:sz w:val="30"/>
          <w:szCs w:val="30"/>
          <w:lang w:val="en-US" w:eastAsia="zh-CN" w:bidi="ar-SA"/>
        </w:rPr>
        <w:t>（二）《上海市国有土地上房屋征收与补偿实施细则》（市政府令第</w:t>
      </w:r>
      <w:bookmarkStart w:id="0" w:name="_GoBack"/>
      <w:bookmarkEnd w:id="0"/>
      <w:r>
        <w:rPr>
          <w:rFonts w:hint="eastAsia" w:ascii="仿宋" w:hAnsi="仿宋" w:eastAsia="仿宋" w:cs="宋体"/>
          <w:spacing w:val="11"/>
          <w:kern w:val="2"/>
          <w:sz w:val="30"/>
          <w:szCs w:val="30"/>
          <w:lang w:val="en-US" w:eastAsia="zh-CN" w:bidi="ar-SA"/>
        </w:rPr>
        <w:t>71号、根据</w:t>
      </w:r>
      <w:r>
        <w:rPr>
          <w:rFonts w:ascii="Arial" w:hAnsi="Arial" w:eastAsia="仿宋_GB2312" w:cs="Arial"/>
          <w:sz w:val="28"/>
          <w:szCs w:val="28"/>
          <w:highlight w:val="none"/>
        </w:rPr>
        <w:t>2024年4月2日市政府令第13号修正）</w:t>
      </w:r>
      <w:r>
        <w:rPr>
          <w:rFonts w:hint="eastAsia" w:ascii="仿宋" w:hAnsi="仿宋" w:eastAsia="仿宋" w:cs="宋体"/>
          <w:spacing w:val="11"/>
          <w:kern w:val="2"/>
          <w:sz w:val="30"/>
          <w:szCs w:val="30"/>
          <w:highlight w:val="none"/>
          <w:lang w:val="en-US" w:eastAsia="zh-CN" w:bidi="ar-SA"/>
        </w:rPr>
        <w:t>；</w:t>
      </w:r>
    </w:p>
    <w:p>
      <w:pPr>
        <w:keepNext w:val="0"/>
        <w:keepLines w:val="0"/>
        <w:widowControl/>
        <w:suppressLineNumbers w:val="0"/>
        <w:ind w:firstLine="644" w:firstLineChars="200"/>
        <w:jc w:val="left"/>
        <w:rPr>
          <w:rFonts w:hint="default"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（三）《关于贯彻执行&lt;上海市国有土地上房屋征收与补偿实施细则&gt;的若干意见》的通知（沪房规范[2022]3号）；</w:t>
      </w:r>
    </w:p>
    <w:p>
      <w:pPr>
        <w:keepNext w:val="0"/>
        <w:keepLines w:val="0"/>
        <w:widowControl/>
        <w:suppressLineNumbers w:val="0"/>
        <w:ind w:firstLine="644" w:firstLineChars="200"/>
        <w:jc w:val="left"/>
        <w:rPr>
          <w:rFonts w:hint="default"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四）《关于贯彻执行&lt;上海市国有土地上房屋征收与补偿实施细则&gt;若干具体问题的意见》（沪房管规范征[2012]9号）、上海市房屋管理局关于延长《关于贯彻执行&lt;上海市国有土地上房屋征收；与补偿实施细则&gt;若干具体问题的意见》有效期的通知（沪房规范[2021]10号)；</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（五）《上海市国有土地上房屋征收评估管理规定》（沪房规范 [2018]5号）、</w:t>
      </w:r>
      <w:r>
        <w:rPr>
          <w:rFonts w:hint="eastAsia" w:ascii="仿宋" w:hAnsi="仿宋" w:eastAsia="仿宋" w:cs="宋体"/>
          <w:kern w:val="2"/>
          <w:sz w:val="30"/>
          <w:szCs w:val="30"/>
          <w:lang w:val="en-US" w:eastAsia="zh-CN" w:bidi="ar-SA"/>
        </w:rPr>
        <w:t>《上海市国有土地上房屋征收评估技术规范》（沪房规范[2018]6号）</w:t>
      </w:r>
      <w:r>
        <w:rPr>
          <w:rFonts w:hint="eastAsia" w:ascii="仿宋" w:hAnsi="仿宋" w:eastAsia="仿宋" w:cs="宋体"/>
          <w:spacing w:val="11"/>
          <w:kern w:val="2"/>
          <w:sz w:val="30"/>
          <w:szCs w:val="30"/>
          <w:lang w:val="en-US" w:eastAsia="zh-CN" w:bidi="ar-SA"/>
        </w:rPr>
        <w:t>、《上海市房屋管理局关于延长&lt;上海市国有土地上房屋征收评估管理规定&gt;和&lt;上海市国有土地上房屋征收评估技术规范&gt;有效期的通知》(沪房规范[2022]4号)；</w:t>
      </w:r>
    </w:p>
    <w:p>
      <w:pPr>
        <w:keepNext w:val="0"/>
        <w:keepLines w:val="0"/>
        <w:widowControl/>
        <w:suppressLineNumbers w:val="0"/>
        <w:ind w:firstLine="644" w:firstLineChars="200"/>
        <w:jc w:val="left"/>
        <w:rPr>
          <w:rFonts w:hint="default"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六）《关于印发浦东新区国有土地上非居住房屋按期搬迁奖励费标准的通知》（浦府[2014]90号）、《浦东新区人民政府关于延长&lt;浦东新区国有土地上非居住房屋按期搬迁奖励费标准&gt;有效期的通知》（浦府规[2019]5号）；</w:t>
      </w:r>
    </w:p>
    <w:p>
      <w:pPr>
        <w:keepNext w:val="0"/>
        <w:keepLines w:val="0"/>
        <w:widowControl/>
        <w:suppressLineNumbers w:val="0"/>
        <w:ind w:firstLine="644" w:firstLineChars="200"/>
        <w:jc w:val="left"/>
        <w:rPr>
          <w:rFonts w:hint="default"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（七）其他相关法规和规范性文件。</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二、房屋征收的目的</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完善本市轨道交通线网功能，改善地区出行，促进区域发展。</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三、房屋征收的范围</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浦东新区金桥镇。浦东新区金港路以西，沿金海路道路两侧布置（</w:t>
      </w:r>
      <w:r>
        <w:rPr>
          <w:rFonts w:hint="eastAsia" w:ascii="仿宋" w:hAnsi="仿宋" w:eastAsia="仿宋" w:cs="仿宋"/>
          <w:color w:val="auto"/>
          <w:sz w:val="30"/>
          <w:szCs w:val="30"/>
          <w:highlight w:val="none"/>
        </w:rPr>
        <w:t>以</w:t>
      </w:r>
      <w:r>
        <w:rPr>
          <w:rFonts w:hint="eastAsia" w:ascii="仿宋" w:hAnsi="仿宋" w:eastAsia="仿宋" w:cs="仿宋"/>
          <w:color w:val="auto"/>
          <w:sz w:val="30"/>
          <w:szCs w:val="30"/>
          <w:highlight w:val="none"/>
          <w:lang w:eastAsia="zh-CN"/>
        </w:rPr>
        <w:t>建设工程设计方案</w:t>
      </w:r>
      <w:r>
        <w:rPr>
          <w:rFonts w:hint="eastAsia" w:ascii="仿宋" w:hAnsi="仿宋" w:eastAsia="仿宋" w:cs="仿宋"/>
          <w:color w:val="auto"/>
          <w:sz w:val="30"/>
          <w:szCs w:val="30"/>
          <w:highlight w:val="none"/>
        </w:rPr>
        <w:t>为准</w:t>
      </w:r>
      <w:r>
        <w:rPr>
          <w:rFonts w:hint="eastAsia" w:ascii="仿宋" w:hAnsi="仿宋" w:eastAsia="仿宋" w:cs="宋体"/>
          <w:spacing w:val="11"/>
          <w:kern w:val="2"/>
          <w:sz w:val="30"/>
          <w:szCs w:val="30"/>
          <w:lang w:val="en-US" w:eastAsia="zh-CN" w:bidi="ar-SA"/>
        </w:rPr>
        <w:t>）。</w:t>
      </w:r>
    </w:p>
    <w:p>
      <w:pPr>
        <w:keepNext w:val="0"/>
        <w:keepLines w:val="0"/>
        <w:widowControl/>
        <w:suppressLineNumbers w:val="0"/>
        <w:ind w:firstLine="646"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四、被征收房屋类型及建筑面积的认定办法</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（一）房屋类型认定</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被征收房屋类型以房地产权证记载为准。</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（二）房屋建筑面积的认定</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房屋建筑面积，以房地产权证记载的建筑面积为准。未经登记的建筑面积，以相关批准文件记载的建筑面积为准。实际建筑面积小于相关批准文件记载的，以实际建筑面积为准。</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五、房屋征收补偿主体、方式和内容</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（一）征收补偿协议主体的确定</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1、房屋征收补偿协议应当由房屋征收部门与被征收人签订。</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2、被征收人以征收决定作出之日合法有效的房地产权证计户，按户进行补偿。</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3、被征收人以房地产权证所载明的所有人为准。</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（二）征收非居住房屋的补偿方式：</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货币补偿。</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（三）补偿内容如下：</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1、被征收房屋的市场评估价格；</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2、设备搬迁和安装费用；</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3、物资等搬迁费用；</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4、装修费用；</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5、无法恢复使用的设备按重置价结合成新结算的费用；</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6、停产停业损失补偿；</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停产停业损失补偿标准，按照被征收房屋市场评估价的10%确定。被征收人认为其停产停业损失超过被征收房屋市场评估价的10%的，应当向房屋征收部门提供房屋被征收前三年的平均效益、停产停业期限等相关证明材料。由房地产价格评估机构对停产停业损失进行评估，并按照评估结果予以补偿。停产停业期限根据企事业单位实际停产停业时间确定，最长不超过1年。</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6、搬迁奖励费：</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对于在签约期限内签约并按照征收补偿协议约定的期限搬迁的，给予一定的奖励；具体标准按照非居住房屋市场评估总价的3%给予奖励。搬迁奖励费不满5万元的非居住房屋，按照5万元给予奖励。</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7、配电增容费：</w:t>
      </w:r>
    </w:p>
    <w:p>
      <w:pPr>
        <w:keepNext w:val="0"/>
        <w:keepLines w:val="0"/>
        <w:widowControl/>
        <w:suppressLineNumbers w:val="0"/>
        <w:ind w:firstLine="600" w:firstLineChars="200"/>
        <w:jc w:val="left"/>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根据搬迁时实际使用量，按1000元/KW进行补贴。实际使用量须以供电部门出具的证明材料为准。</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六、房屋征收评估机构选定办法</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被征收房屋的价格，由具有相应资质的房地产价格评估机构按照房屋征收评估办法评估确定。房地产价格评估机构按照以下方式确定：</w:t>
      </w:r>
    </w:p>
    <w:p>
      <w:pPr>
        <w:keepNext w:val="0"/>
        <w:keepLines w:val="0"/>
        <w:widowControl/>
        <w:numPr>
          <w:ilvl w:val="0"/>
          <w:numId w:val="1"/>
        </w:numPr>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协商选定；</w:t>
      </w:r>
    </w:p>
    <w:p>
      <w:pPr>
        <w:keepNext w:val="0"/>
        <w:keepLines w:val="0"/>
        <w:widowControl/>
        <w:numPr>
          <w:ilvl w:val="0"/>
          <w:numId w:val="1"/>
        </w:numPr>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按照少数服从多数的原则投票决定</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3、采取摇号、抽签等随机方式确定。</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七、房屋征收补偿的签约期限</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签约期限为</w:t>
      </w:r>
      <w:r>
        <w:rPr>
          <w:rFonts w:hint="eastAsia" w:ascii="仿宋" w:hAnsi="仿宋" w:eastAsia="仿宋" w:cs="宋体"/>
          <w:spacing w:val="11"/>
          <w:kern w:val="2"/>
          <w:sz w:val="30"/>
          <w:szCs w:val="30"/>
          <w:u w:val="single"/>
          <w:lang w:val="en-US" w:eastAsia="zh-CN" w:bidi="ar-SA"/>
        </w:rPr>
        <w:t xml:space="preserve">  7  </w:t>
      </w:r>
      <w:r>
        <w:rPr>
          <w:rFonts w:hint="eastAsia" w:ascii="仿宋" w:hAnsi="仿宋" w:eastAsia="仿宋" w:cs="宋体"/>
          <w:spacing w:val="11"/>
          <w:kern w:val="2"/>
          <w:sz w:val="30"/>
          <w:szCs w:val="30"/>
          <w:lang w:val="en-US" w:eastAsia="zh-CN" w:bidi="ar-SA"/>
        </w:rPr>
        <w:t>天。</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八、搬迁期限</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被征收人在协议审计审核完成并生效后，于协议约定的期限内搬离原址，交出原房钥匙。</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九、受委托的房屋征收事务所名称</w:t>
      </w:r>
    </w:p>
    <w:p>
      <w:pPr>
        <w:keepNext w:val="0"/>
        <w:keepLines w:val="0"/>
        <w:widowControl/>
        <w:suppressLineNumbers w:val="0"/>
        <w:ind w:firstLine="644" w:firstLineChars="200"/>
        <w:jc w:val="left"/>
        <w:rPr>
          <w:rFonts w:hint="eastAsia" w:ascii="仿宋" w:hAnsi="仿宋" w:eastAsia="仿宋" w:cs="宋体"/>
          <w:spacing w:val="11"/>
          <w:kern w:val="2"/>
          <w:sz w:val="30"/>
          <w:szCs w:val="30"/>
          <w:lang w:val="en-US" w:eastAsia="zh-CN" w:bidi="ar-SA"/>
        </w:rPr>
      </w:pPr>
      <w:r>
        <w:rPr>
          <w:rFonts w:hint="eastAsia" w:ascii="仿宋" w:hAnsi="仿宋" w:eastAsia="仿宋" w:cs="宋体"/>
          <w:spacing w:val="11"/>
          <w:kern w:val="2"/>
          <w:sz w:val="30"/>
          <w:szCs w:val="30"/>
          <w:lang w:val="en-US" w:eastAsia="zh-CN" w:bidi="ar-SA"/>
        </w:rPr>
        <w:t>受委托的房屋征收事务所：上海市浦东第七房屋征收服务事务所有限公司</w:t>
      </w:r>
    </w:p>
    <w:p>
      <w:pPr>
        <w:keepNext w:val="0"/>
        <w:keepLines w:val="0"/>
        <w:widowControl/>
        <w:suppressLineNumbers w:val="0"/>
        <w:ind w:firstLine="644" w:firstLineChars="200"/>
        <w:jc w:val="left"/>
        <w:rPr>
          <w:rFonts w:hint="eastAsia" w:ascii="仿宋" w:hAnsi="仿宋" w:eastAsia="仿宋" w:cs="宋体"/>
          <w:spacing w:val="11"/>
          <w:kern w:val="2"/>
          <w:sz w:val="30"/>
          <w:szCs w:val="30"/>
          <w:highlight w:val="none"/>
          <w:lang w:val="en-US" w:eastAsia="zh-CN" w:bidi="ar-SA"/>
        </w:rPr>
      </w:pPr>
      <w:r>
        <w:rPr>
          <w:rFonts w:hint="eastAsia" w:ascii="仿宋" w:hAnsi="仿宋" w:eastAsia="仿宋" w:cs="宋体"/>
          <w:spacing w:val="11"/>
          <w:kern w:val="2"/>
          <w:sz w:val="30"/>
          <w:szCs w:val="30"/>
          <w:highlight w:val="none"/>
          <w:lang w:val="en-US" w:eastAsia="zh-CN" w:bidi="ar-SA"/>
        </w:rPr>
        <w:t>地址：上海市浦东新区新金桥路1688号3楼</w:t>
      </w:r>
    </w:p>
    <w:p>
      <w:pPr>
        <w:keepNext w:val="0"/>
        <w:keepLines w:val="0"/>
        <w:widowControl/>
        <w:suppressLineNumbers w:val="0"/>
        <w:ind w:firstLine="644" w:firstLineChars="200"/>
        <w:jc w:val="left"/>
        <w:rPr>
          <w:rFonts w:hint="default" w:ascii="仿宋" w:hAnsi="仿宋" w:eastAsia="仿宋" w:cs="宋体"/>
          <w:spacing w:val="11"/>
          <w:kern w:val="2"/>
          <w:sz w:val="30"/>
          <w:szCs w:val="30"/>
          <w:highlight w:val="none"/>
          <w:lang w:val="en-US" w:eastAsia="zh-CN" w:bidi="ar-SA"/>
        </w:rPr>
      </w:pPr>
      <w:r>
        <w:rPr>
          <w:rFonts w:hint="eastAsia" w:ascii="仿宋" w:hAnsi="仿宋" w:eastAsia="仿宋" w:cs="宋体"/>
          <w:spacing w:val="11"/>
          <w:kern w:val="2"/>
          <w:sz w:val="30"/>
          <w:szCs w:val="30"/>
          <w:highlight w:val="none"/>
          <w:lang w:val="en-US" w:eastAsia="zh-CN" w:bidi="ar-SA"/>
        </w:rPr>
        <w:t>邮政编码：201206</w:t>
      </w:r>
    </w:p>
    <w:p>
      <w:pPr>
        <w:keepNext w:val="0"/>
        <w:keepLines w:val="0"/>
        <w:widowControl/>
        <w:suppressLineNumbers w:val="0"/>
        <w:ind w:firstLine="644" w:firstLineChars="200"/>
        <w:jc w:val="left"/>
        <w:rPr>
          <w:rFonts w:hint="default" w:ascii="仿宋" w:hAnsi="仿宋" w:eastAsia="仿宋" w:cs="宋体"/>
          <w:spacing w:val="11"/>
          <w:kern w:val="2"/>
          <w:sz w:val="30"/>
          <w:szCs w:val="30"/>
          <w:highlight w:val="none"/>
          <w:lang w:val="en-US" w:eastAsia="zh-CN" w:bidi="ar-SA"/>
        </w:rPr>
      </w:pPr>
      <w:r>
        <w:rPr>
          <w:rFonts w:hint="eastAsia" w:ascii="仿宋" w:hAnsi="仿宋" w:eastAsia="仿宋" w:cs="宋体"/>
          <w:spacing w:val="11"/>
          <w:kern w:val="2"/>
          <w:sz w:val="30"/>
          <w:szCs w:val="30"/>
          <w:highlight w:val="none"/>
          <w:lang w:val="en-US" w:eastAsia="zh-CN" w:bidi="ar-SA"/>
        </w:rPr>
        <w:t>联系电话：68775590</w:t>
      </w:r>
    </w:p>
    <w:p>
      <w:pPr>
        <w:keepNext w:val="0"/>
        <w:keepLines w:val="0"/>
        <w:widowControl/>
        <w:suppressLineNumbers w:val="0"/>
        <w:ind w:firstLine="644" w:firstLineChars="200"/>
        <w:jc w:val="left"/>
        <w:rPr>
          <w:rFonts w:hint="eastAsia" w:ascii="仿宋" w:hAnsi="仿宋" w:eastAsia="仿宋" w:cs="宋体"/>
          <w:spacing w:val="11"/>
          <w:kern w:val="2"/>
          <w:sz w:val="30"/>
          <w:szCs w:val="30"/>
          <w:highlight w:val="none"/>
          <w:lang w:val="en-US" w:eastAsia="zh-CN" w:bidi="ar-SA"/>
        </w:rPr>
      </w:pPr>
      <w:r>
        <w:rPr>
          <w:rFonts w:hint="eastAsia" w:ascii="仿宋" w:hAnsi="仿宋" w:eastAsia="仿宋" w:cs="宋体"/>
          <w:spacing w:val="11"/>
          <w:kern w:val="2"/>
          <w:sz w:val="30"/>
          <w:szCs w:val="30"/>
          <w:highlight w:val="none"/>
          <w:lang w:val="en-US" w:eastAsia="zh-CN" w:bidi="ar-SA"/>
        </w:rPr>
        <w:t>电子邮箱：PDZS7S@126.com</w:t>
      </w:r>
    </w:p>
    <w:p>
      <w:pPr>
        <w:keepNext w:val="0"/>
        <w:keepLines w:val="0"/>
        <w:widowControl/>
        <w:suppressLineNumbers w:val="0"/>
        <w:ind w:firstLine="646" w:firstLineChars="200"/>
        <w:jc w:val="left"/>
        <w:rPr>
          <w:rFonts w:hint="eastAsia" w:ascii="仿宋" w:hAnsi="仿宋" w:eastAsia="仿宋" w:cs="宋体"/>
          <w:b/>
          <w:bCs/>
          <w:spacing w:val="11"/>
          <w:kern w:val="2"/>
          <w:sz w:val="30"/>
          <w:szCs w:val="30"/>
          <w:lang w:val="en-US" w:eastAsia="zh-CN" w:bidi="ar-SA"/>
        </w:rPr>
      </w:pPr>
      <w:r>
        <w:rPr>
          <w:rFonts w:hint="eastAsia" w:ascii="仿宋" w:hAnsi="仿宋" w:eastAsia="仿宋" w:cs="宋体"/>
          <w:b/>
          <w:bCs/>
          <w:spacing w:val="11"/>
          <w:kern w:val="2"/>
          <w:sz w:val="30"/>
          <w:szCs w:val="30"/>
          <w:lang w:val="en-US" w:eastAsia="zh-CN" w:bidi="ar-SA"/>
        </w:rPr>
        <w:t xml:space="preserve"> 十、其他事项</w:t>
      </w:r>
    </w:p>
    <w:p>
      <w:pPr>
        <w:keepNext w:val="0"/>
        <w:keepLines w:val="0"/>
        <w:widowControl/>
        <w:suppressLineNumbers w:val="0"/>
        <w:ind w:firstLine="644" w:firstLineChars="200"/>
        <w:jc w:val="left"/>
        <w:rPr>
          <w:rFonts w:hint="eastAsia" w:ascii="仿宋" w:hAnsi="仿宋" w:eastAsia="仿宋" w:cs="宋体"/>
          <w:spacing w:val="28"/>
          <w:kern w:val="2"/>
          <w:sz w:val="30"/>
          <w:szCs w:val="30"/>
          <w:lang w:val="en-US" w:eastAsia="zh-CN" w:bidi="ar-SA"/>
        </w:rPr>
      </w:pPr>
      <w:r>
        <w:rPr>
          <w:rFonts w:hint="eastAsia" w:ascii="仿宋" w:hAnsi="仿宋" w:eastAsia="仿宋" w:cs="宋体"/>
          <w:spacing w:val="11"/>
          <w:kern w:val="2"/>
          <w:sz w:val="30"/>
          <w:szCs w:val="30"/>
          <w:lang w:val="en-US" w:eastAsia="zh-CN" w:bidi="ar-SA"/>
        </w:rPr>
        <w:t>本房屋征收补偿方案中的货币为人民币结算。</w:t>
      </w:r>
    </w:p>
    <w:p>
      <w:pPr>
        <w:spacing w:line="500" w:lineRule="exact"/>
        <w:rPr>
          <w:sz w:val="24"/>
        </w:rPr>
      </w:pPr>
      <w:r>
        <w:rPr>
          <w:rFonts w:ascii="Times New Roman" w:hAnsi="Times New Roman" w:eastAsia="宋体" w:cs="Times New Roman"/>
          <w:sz w:val="24"/>
          <w:lang w:bidi="ar"/>
        </w:rPr>
        <w:t xml:space="preserve"> </w:t>
      </w:r>
    </w:p>
    <w:p>
      <w:pPr>
        <w:spacing w:line="500" w:lineRule="exact"/>
        <w:jc w:val="right"/>
        <w:rPr>
          <w:rFonts w:ascii="仿宋_GB2312" w:eastAsia="仿宋_GB2312" w:cs="仿宋_GB2312"/>
          <w:sz w:val="30"/>
          <w:szCs w:val="30"/>
        </w:rPr>
      </w:pPr>
      <w:r>
        <w:rPr>
          <w:rFonts w:ascii="仿宋_GB2312" w:hAnsi="Times New Roman" w:eastAsia="仿宋_GB2312" w:cs="仿宋_GB2312"/>
          <w:sz w:val="30"/>
          <w:szCs w:val="30"/>
          <w:lang w:bidi="ar"/>
        </w:rPr>
        <w:t xml:space="preserve"> </w:t>
      </w:r>
    </w:p>
    <w:p>
      <w:pPr>
        <w:spacing w:line="500" w:lineRule="exact"/>
        <w:jc w:val="right"/>
        <w:rPr>
          <w:rFonts w:ascii="仿宋_GB2312" w:eastAsia="仿宋_GB2312" w:cs="仿宋_GB2312"/>
          <w:sz w:val="30"/>
          <w:szCs w:val="30"/>
        </w:rPr>
      </w:pPr>
      <w:r>
        <w:rPr>
          <w:rFonts w:ascii="仿宋_GB2312" w:hAnsi="Times New Roman" w:eastAsia="仿宋_GB2312" w:cs="仿宋_GB2312"/>
          <w:sz w:val="30"/>
          <w:szCs w:val="30"/>
          <w:lang w:bidi="ar"/>
        </w:rPr>
        <w:t xml:space="preserve">                    </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ADED6"/>
    <w:multiLevelType w:val="singleLevel"/>
    <w:tmpl w:val="5C3ADE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N2JlN2ZlMzAyM2I1NjVhMWQxMDYwOGUwMjc5MjEifQ=="/>
  </w:docVars>
  <w:rsids>
    <w:rsidRoot w:val="130F7721"/>
    <w:rsid w:val="000E3364"/>
    <w:rsid w:val="002E6AB4"/>
    <w:rsid w:val="00306AE5"/>
    <w:rsid w:val="003B50C7"/>
    <w:rsid w:val="00656823"/>
    <w:rsid w:val="00660080"/>
    <w:rsid w:val="00843773"/>
    <w:rsid w:val="00EE1F4C"/>
    <w:rsid w:val="00F91A42"/>
    <w:rsid w:val="00F92B73"/>
    <w:rsid w:val="07943000"/>
    <w:rsid w:val="08C5610C"/>
    <w:rsid w:val="09072C1D"/>
    <w:rsid w:val="0A61180E"/>
    <w:rsid w:val="130F7721"/>
    <w:rsid w:val="166A259B"/>
    <w:rsid w:val="16973897"/>
    <w:rsid w:val="1F2D37A9"/>
    <w:rsid w:val="1F9D5620"/>
    <w:rsid w:val="252A325C"/>
    <w:rsid w:val="25423C43"/>
    <w:rsid w:val="2BEC1ABB"/>
    <w:rsid w:val="310023B7"/>
    <w:rsid w:val="3A9B0139"/>
    <w:rsid w:val="40A532D2"/>
    <w:rsid w:val="412B03F3"/>
    <w:rsid w:val="417B0A09"/>
    <w:rsid w:val="41DC3921"/>
    <w:rsid w:val="44501F0D"/>
    <w:rsid w:val="47DE2A81"/>
    <w:rsid w:val="52127B1E"/>
    <w:rsid w:val="59356908"/>
    <w:rsid w:val="5C1C032B"/>
    <w:rsid w:val="5CC54458"/>
    <w:rsid w:val="5DD107BB"/>
    <w:rsid w:val="5E3873B6"/>
    <w:rsid w:val="603D6789"/>
    <w:rsid w:val="6BF972F4"/>
    <w:rsid w:val="73943BA4"/>
    <w:rsid w:val="753E609A"/>
    <w:rsid w:val="775063EB"/>
    <w:rsid w:val="7B140824"/>
    <w:rsid w:val="7D0A576E"/>
    <w:rsid w:val="7D177396"/>
    <w:rsid w:val="7DB7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1578</Words>
  <Characters>1684</Characters>
  <Lines>11</Lines>
  <Paragraphs>3</Paragraphs>
  <TotalTime>1</TotalTime>
  <ScaleCrop>false</ScaleCrop>
  <LinksUpToDate>false</LinksUpToDate>
  <CharactersWithSpaces>1737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2023-02-01T03:29:00Z</dcterms:created>
  <dc:creator>Administrator</dc:creator>
  <cp:lastModifiedBy>lenovo</cp:lastModifiedBy>
  <cp:lastPrinted>2023-06-01T03:54:00Z</cp:lastPrinted>
  <dcterms:modified xsi:type="dcterms:W3CDTF">2024-10-18T05:55:16Z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BF8A5F815682409A857BFDF5B4877295_13</vt:lpwstr>
  </property>
</Properties>
</file>