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CC5C1">
      <w:pPr>
        <w:rPr>
          <w:rFonts w:hint="eastAsia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代理记账业务内部规范（应包括从业人员执业道德规范，业务操作流程，业务质量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控制规范和业务档案管理等）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AyZjEwZjlkZjFjZTk3NzhlYmU0ZWZlODY3ZjA0MDcifQ=="/>
  </w:docVars>
  <w:rsids>
    <w:rsidRoot w:val="16FF3E5D"/>
    <w:rsid w:val="16FF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Office_12.8.2.18605_F1E327BC-269C-435d-A152-05C5408002CA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2025-02-24T16:46:00Z</dcterms:created>
  <dc:creator>user</dc:creator>
  <cp:lastModifiedBy>user</cp:lastModifiedBy>
  <dcterms:modified xsi:type="dcterms:W3CDTF">2025-02-24T16:50:20Z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2052-12.8.2.18605</vt:lpwstr>
  </property>
  <property fmtid="{D5CDD505-2E9C-101B-9397-08002B2CF9AE}" pid="3" name="ICV">
    <vt:lpwstr>2CCF650A92D8C06DF131BC679AB58F8C_41</vt:lpwstr>
  </property>
</Properties>
</file>