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05" w:rsidRPr="00A24105" w:rsidRDefault="00A24105" w:rsidP="00A24105">
      <w:pPr>
        <w:autoSpaceDE w:val="0"/>
        <w:autoSpaceDN w:val="0"/>
        <w:adjustRightInd w:val="0"/>
        <w:snapToGrid w:val="0"/>
        <w:spacing w:line="324" w:lineRule="auto"/>
        <w:ind w:firstLineChars="200" w:firstLine="624"/>
        <w:jc w:val="center"/>
        <w:rPr>
          <w:rFonts w:ascii="方正小标宋简体" w:eastAsia="方正小标宋简体" w:hAnsi="黑体" w:cs="黑体"/>
          <w:spacing w:val="-4"/>
          <w:kern w:val="0"/>
          <w:sz w:val="32"/>
          <w:szCs w:val="32"/>
        </w:rPr>
      </w:pPr>
      <w:r w:rsidRPr="00A24105">
        <w:rPr>
          <w:rFonts w:ascii="方正小标宋简体" w:eastAsia="方正小标宋简体" w:hAnsi="黑体" w:cs="黑体" w:hint="eastAsia"/>
          <w:spacing w:val="-4"/>
          <w:kern w:val="0"/>
          <w:sz w:val="32"/>
          <w:szCs w:val="32"/>
        </w:rPr>
        <w:t>农村人居环境优化工程考评标准（村表）</w:t>
      </w:r>
    </w:p>
    <w:tbl>
      <w:tblPr>
        <w:tblW w:w="9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1"/>
        <w:gridCol w:w="752"/>
        <w:gridCol w:w="5559"/>
        <w:gridCol w:w="2107"/>
      </w:tblGrid>
      <w:tr w:rsidR="00A24105" w:rsidRPr="00A24105" w:rsidTr="00D43B77">
        <w:trPr>
          <w:trHeight w:val="647"/>
          <w:jc w:val="center"/>
        </w:trPr>
        <w:tc>
          <w:tcPr>
            <w:tcW w:w="7432" w:type="dxa"/>
            <w:gridSpan w:val="3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t>评价标准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t>检查情况</w:t>
            </w:r>
          </w:p>
        </w:tc>
      </w:tr>
      <w:tr w:rsidR="00A24105" w:rsidRPr="00A24105" w:rsidTr="00D43B77">
        <w:trPr>
          <w:trHeight w:val="1233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t xml:space="preserve">一、市级任务完成情况 </w:t>
            </w: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br/>
              <w:t>（20分）</w:t>
            </w:r>
          </w:p>
        </w:tc>
        <w:tc>
          <w:tcPr>
            <w:tcW w:w="6311" w:type="dxa"/>
            <w:gridSpan w:val="2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硬任务推进情况符合预期（20分）（100%基本符合的，得20分；90%以上的，得10分；80%以上的，得5分；低于80%的，不得分）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927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t>二、环境优化成效情况</w:t>
            </w: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br/>
              <w:t>（61分）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eastAsia="en-US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村庄环境（14分）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 xml:space="preserve">1.村庄内外干净整洁，房前屋后、河岸水系、道路沿线、林下区域等基本无生活垃圾、生产废弃物、建筑垃圾堆积（5分，发现一处扣1分，发现三处以上不得分）；                                                                             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927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2.公共区域无废旧杂物、生产资料、柴草、生活废弃物等杂物堆物（3分，基本无杂物得3分，有零星杂物得2分，有多处杂物的不得分）；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927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3.宅前屋后整洁有序，无违法建筑、乱搭乱建、鸡鸭散养等（3分，宅前屋后整洁有序得3分，有零星乱搭乱建等得2分，有多处乱搭乱建的不得分）；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927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 xml:space="preserve">4.电杆墙面上无张贴、喷涂各种非法小广告、废弃宣传标语等（3分，基本无乱张贴得3分，有零星几处乱张贴得2分，有多处乱张贴的不得分）； 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622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eastAsia="en-US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农田环境（10分）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1.田间地头无积存垃圾、建筑废弃物、抛荒杂草、废弃窝棚、看护棚、简易围栏等（5分，发现1处扣1分）；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622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2.田间沟渠畅通，道路整洁（3分，基本通畅整洁得3分，少许堵塞得1分，严重淤塞脏乱不得分）；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631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3.田间设施基本完好（2分，基本完好得2分，略微破损得1分，严重破损不得分）；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503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eastAsia="en-US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水系环境（5分）</w:t>
            </w:r>
          </w:p>
        </w:tc>
        <w:tc>
          <w:tcPr>
            <w:tcW w:w="5559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1.村沟宅河各类水体河道水质清澈、通畅，河岸整洁美观。（5分，河道水体黑臭、长有绿藻，有淤塞现象，岸边有积存垃圾，发现1处扣1分）；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730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503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eastAsia="en-US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乡村风貌（19分）</w:t>
            </w:r>
          </w:p>
        </w:tc>
        <w:tc>
          <w:tcPr>
            <w:tcW w:w="5559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 xml:space="preserve">1.主要路、河、渠和堤等区域基本绿化，小微空间因地制宜绿化美化，花木、果树、蔬菜等搭配，体现乡土野趣（3分，存在大片裸土的不得分）；乡村绿化应朴实、自然、经济，避免大面积移植人工草坪（2分，草皮养护不到位，存在杂草丛生、土地裸露等情况的不得分）；         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103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927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2.50%保留居民点开展美丽庭院和小花园、小菜园、小果园建设（6分，未达到50%数量或</w:t>
            </w: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“</w:t>
            </w: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小三园</w:t>
            </w: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”</w:t>
            </w: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脏、乱、差的不得分）；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659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3.屋顶坍塌、墙体严重剥落的残破旧屋、残垣断壁等整修整治（3分，发现一处扣1分）；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1233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4.主要道路、道路转角、人流活动密集区、重要服务建筑设置标识系统，指示明确，风格一致，材质乡土，特色鲜明（1分）；装饰小品灵活运用砖瓦、竹木、卵石、旧磨盘等乡土材料和物件，体现当地文化特征（1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1233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5.架空线杆排列较整齐，电信、有线电视线路合杆整治（3分，线杆排列整齐，保留村组架空线全面序化整理的，得3分；部分序化整理的，得2分；仅个别点位序化整理的，得1分；未整理的不得分）；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1233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t>二、环境优化成效情况</w:t>
            </w: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br/>
              <w:t>（61分）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公共服务设施配置（7分）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 xml:space="preserve">1.建有标准化村综合服务中心，党建服务、事项受理、文化服务、联勤联动、卫生室等功能齐全（2分）；在保留居住点配置公共服务站点，延伸文体、为老、办事等服务功能（2分）；                                 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978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2.村内道路通行良好，硬化率100% （3分，村主路、支路存在坑坑洼洼、泥路、砂石路等现象，发现1处扣1分）；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93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eastAsia="en-US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污染治理（6分）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1.垃圾综合治理评定为达标，投放收集设施按标准配置，垃圾分类规范，分类实效好（2分，垃圾分类不达标，垃圾桶乱摆乱放，设施损坏严重、环境脏乱不得分）；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622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2.建有就近就地型湿垃圾处理站，湿垃圾不出镇、村（2分）；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812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3.生活污水处理率（集中处理户数/农户数）达到90%（2分，未达到比例不得分）；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503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t>三、长效管理落实情况</w:t>
            </w: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br/>
              <w:t>（9分）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eastAsia="en-US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管理机制（5分）</w:t>
            </w:r>
          </w:p>
        </w:tc>
        <w:tc>
          <w:tcPr>
            <w:tcW w:w="5559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推进农村人居环境优化工程</w:t>
            </w:r>
            <w:r w:rsidRPr="00A24105">
              <w:rPr>
                <w:rFonts w:ascii="等线" w:eastAsia="等线" w:hAnsi="等线" w:cs="等线"/>
                <w:color w:val="000000"/>
                <w:kern w:val="0"/>
                <w:sz w:val="22"/>
              </w:rPr>
              <w:t>“</w:t>
            </w: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一网统管</w:t>
            </w:r>
            <w:r w:rsidRPr="00A24105">
              <w:rPr>
                <w:rFonts w:ascii="等线" w:eastAsia="等线" w:hAnsi="等线" w:cs="等线"/>
                <w:color w:val="000000"/>
                <w:kern w:val="0"/>
                <w:sz w:val="22"/>
              </w:rPr>
              <w:t>”</w:t>
            </w: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工作（1分）；长效管理队伍已建立，人员充足，定岗定责，考核奖惩机制完善（2分）；长效管护经费有保障（2分）；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503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32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503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eastAsia="en-US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村民发动（4分）</w:t>
            </w:r>
          </w:p>
        </w:tc>
        <w:tc>
          <w:tcPr>
            <w:tcW w:w="5559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基层组织战斗力强，建立村干部包组推进优化工程工作机制（1分）;党员带群众作用突出，有明确的工作机制、工作队伍，定期开展活动（1分）;优化工程相关工作要求纳入村规民约，开展美丽庭院评选、环境卫生红黑榜、积分制等活动，推行</w:t>
            </w: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“</w:t>
            </w: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门前三包</w:t>
            </w: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”</w:t>
            </w: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，村民履约到位（2分）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503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533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559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  <w:tr w:rsidR="00A24105" w:rsidRPr="00A24105" w:rsidTr="00D43B77">
        <w:trPr>
          <w:trHeight w:val="503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t>四、村民满意度情况</w:t>
            </w:r>
            <w:r w:rsidRPr="00A2410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</w:rPr>
              <w:br/>
              <w:t>（10分）</w:t>
            </w:r>
          </w:p>
        </w:tc>
        <w:tc>
          <w:tcPr>
            <w:tcW w:w="6311" w:type="dxa"/>
            <w:gridSpan w:val="2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A24105"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10分，知晓度、参与度、满意度均达到90%以上得10分，85%以上得8分，80%以上得6分，低于80%不得分。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A24105" w:rsidRPr="00A24105" w:rsidRDefault="00A24105" w:rsidP="00A2410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</w:tr>
    </w:tbl>
    <w:p w:rsidR="00A24105" w:rsidRPr="00A24105" w:rsidRDefault="00A24105" w:rsidP="00791126">
      <w:pPr>
        <w:autoSpaceDE w:val="0"/>
        <w:autoSpaceDN w:val="0"/>
        <w:adjustRightInd w:val="0"/>
        <w:snapToGrid w:val="0"/>
        <w:spacing w:line="312" w:lineRule="auto"/>
        <w:ind w:leftChars="279" w:left="1940" w:hangingChars="434" w:hanging="1354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p w:rsidR="004975AF" w:rsidRDefault="004975AF" w:rsidP="00791126">
      <w:pPr>
        <w:autoSpaceDE w:val="0"/>
        <w:autoSpaceDN w:val="0"/>
        <w:adjustRightInd w:val="0"/>
        <w:snapToGrid w:val="0"/>
        <w:spacing w:line="560" w:lineRule="exact"/>
        <w:ind w:leftChars="279" w:left="1940" w:hangingChars="434" w:hanging="1354"/>
        <w:jc w:val="left"/>
        <w:rPr>
          <w:rFonts w:ascii="Times New Roman" w:eastAsia="仿宋_GB2312" w:hAnsi="Times New Roman" w:cs="Times New Roman"/>
          <w:spacing w:val="-4"/>
          <w:kern w:val="0"/>
          <w:sz w:val="32"/>
          <w:szCs w:val="32"/>
          <w:lang w:bidi="zh-CN"/>
        </w:rPr>
      </w:pPr>
    </w:p>
    <w:sectPr w:rsidR="004975AF" w:rsidSect="001B0875">
      <w:footerReference w:type="default" r:id="rId7"/>
      <w:pgSz w:w="11906" w:h="16838" w:code="9"/>
      <w:pgMar w:top="1985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2F" w:rsidRDefault="0035422F" w:rsidP="006D5C78">
      <w:r>
        <w:separator/>
      </w:r>
    </w:p>
  </w:endnote>
  <w:endnote w:type="continuationSeparator" w:id="1">
    <w:p w:rsidR="0035422F" w:rsidRDefault="0035422F" w:rsidP="006D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59904"/>
      <w:docPartObj>
        <w:docPartGallery w:val="Page Numbers (Bottom of Page)"/>
        <w:docPartUnique/>
      </w:docPartObj>
    </w:sdtPr>
    <w:sdtContent>
      <w:p w:rsidR="00791126" w:rsidRDefault="002B5F93">
        <w:pPr>
          <w:pStyle w:val="a4"/>
          <w:jc w:val="center"/>
        </w:pPr>
        <w:fldSimple w:instr=" PAGE   \* MERGEFORMAT ">
          <w:r w:rsidR="004F3C8B" w:rsidRPr="004F3C8B">
            <w:rPr>
              <w:noProof/>
              <w:lang w:val="zh-CN"/>
            </w:rPr>
            <w:t>1</w:t>
          </w:r>
        </w:fldSimple>
      </w:p>
    </w:sdtContent>
  </w:sdt>
  <w:p w:rsidR="00791126" w:rsidRDefault="007911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2F" w:rsidRDefault="0035422F" w:rsidP="006D5C78">
      <w:r>
        <w:separator/>
      </w:r>
    </w:p>
  </w:footnote>
  <w:footnote w:type="continuationSeparator" w:id="1">
    <w:p w:rsidR="0035422F" w:rsidRDefault="0035422F" w:rsidP="006D5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D9A"/>
    <w:rsid w:val="00037299"/>
    <w:rsid w:val="00041C61"/>
    <w:rsid w:val="000551F6"/>
    <w:rsid w:val="000B39D3"/>
    <w:rsid w:val="00172C6F"/>
    <w:rsid w:val="00184575"/>
    <w:rsid w:val="001A1E9B"/>
    <w:rsid w:val="001B0875"/>
    <w:rsid w:val="001B50AC"/>
    <w:rsid w:val="00206C96"/>
    <w:rsid w:val="00234AA0"/>
    <w:rsid w:val="0023631B"/>
    <w:rsid w:val="002750A7"/>
    <w:rsid w:val="0028192D"/>
    <w:rsid w:val="00297840"/>
    <w:rsid w:val="002A11D4"/>
    <w:rsid w:val="002A207A"/>
    <w:rsid w:val="002B5F93"/>
    <w:rsid w:val="002D6095"/>
    <w:rsid w:val="002E4315"/>
    <w:rsid w:val="002F7155"/>
    <w:rsid w:val="0030402E"/>
    <w:rsid w:val="00305879"/>
    <w:rsid w:val="00325B6F"/>
    <w:rsid w:val="003513E0"/>
    <w:rsid w:val="00351F04"/>
    <w:rsid w:val="0035422F"/>
    <w:rsid w:val="00361D0C"/>
    <w:rsid w:val="00423949"/>
    <w:rsid w:val="00437702"/>
    <w:rsid w:val="00444A52"/>
    <w:rsid w:val="004759C5"/>
    <w:rsid w:val="0048055B"/>
    <w:rsid w:val="004975AF"/>
    <w:rsid w:val="004E0A8F"/>
    <w:rsid w:val="004F2612"/>
    <w:rsid w:val="004F3C8B"/>
    <w:rsid w:val="004F7C47"/>
    <w:rsid w:val="00520E4C"/>
    <w:rsid w:val="00540025"/>
    <w:rsid w:val="0054390C"/>
    <w:rsid w:val="00561435"/>
    <w:rsid w:val="00565B52"/>
    <w:rsid w:val="00597513"/>
    <w:rsid w:val="00611AF3"/>
    <w:rsid w:val="00654CD1"/>
    <w:rsid w:val="006B46AF"/>
    <w:rsid w:val="006D5C78"/>
    <w:rsid w:val="006D6FE4"/>
    <w:rsid w:val="00700C25"/>
    <w:rsid w:val="00721270"/>
    <w:rsid w:val="007244E7"/>
    <w:rsid w:val="007378D6"/>
    <w:rsid w:val="00752673"/>
    <w:rsid w:val="007658A3"/>
    <w:rsid w:val="007666BC"/>
    <w:rsid w:val="00791126"/>
    <w:rsid w:val="0079673A"/>
    <w:rsid w:val="007D4B80"/>
    <w:rsid w:val="00821B4D"/>
    <w:rsid w:val="00822984"/>
    <w:rsid w:val="00823BFF"/>
    <w:rsid w:val="00851E04"/>
    <w:rsid w:val="008551E3"/>
    <w:rsid w:val="00865312"/>
    <w:rsid w:val="00867C19"/>
    <w:rsid w:val="008A4582"/>
    <w:rsid w:val="008D127E"/>
    <w:rsid w:val="00921EE3"/>
    <w:rsid w:val="009261F3"/>
    <w:rsid w:val="00984818"/>
    <w:rsid w:val="00986DE6"/>
    <w:rsid w:val="00995A7A"/>
    <w:rsid w:val="009A162C"/>
    <w:rsid w:val="009B46D9"/>
    <w:rsid w:val="009B4F75"/>
    <w:rsid w:val="009C1DFA"/>
    <w:rsid w:val="009D3A7C"/>
    <w:rsid w:val="009F60C0"/>
    <w:rsid w:val="00A24105"/>
    <w:rsid w:val="00AC21A9"/>
    <w:rsid w:val="00B30BC3"/>
    <w:rsid w:val="00B41521"/>
    <w:rsid w:val="00B41A2F"/>
    <w:rsid w:val="00B5021E"/>
    <w:rsid w:val="00B92D9A"/>
    <w:rsid w:val="00BC2437"/>
    <w:rsid w:val="00BC67EF"/>
    <w:rsid w:val="00BE2DE3"/>
    <w:rsid w:val="00BE3093"/>
    <w:rsid w:val="00BE5B12"/>
    <w:rsid w:val="00C26380"/>
    <w:rsid w:val="00C276C8"/>
    <w:rsid w:val="00C318CD"/>
    <w:rsid w:val="00C53A4E"/>
    <w:rsid w:val="00C60944"/>
    <w:rsid w:val="00C653B5"/>
    <w:rsid w:val="00C74469"/>
    <w:rsid w:val="00C9068A"/>
    <w:rsid w:val="00C92B9E"/>
    <w:rsid w:val="00CC421B"/>
    <w:rsid w:val="00D23BE6"/>
    <w:rsid w:val="00D43B77"/>
    <w:rsid w:val="00D47639"/>
    <w:rsid w:val="00D7521B"/>
    <w:rsid w:val="00D8553C"/>
    <w:rsid w:val="00D908F8"/>
    <w:rsid w:val="00E13977"/>
    <w:rsid w:val="00E159DF"/>
    <w:rsid w:val="00E37BCD"/>
    <w:rsid w:val="00E63F50"/>
    <w:rsid w:val="00E725D7"/>
    <w:rsid w:val="00E93858"/>
    <w:rsid w:val="00E96B62"/>
    <w:rsid w:val="00EB0F2F"/>
    <w:rsid w:val="00EF62E5"/>
    <w:rsid w:val="00F00F34"/>
    <w:rsid w:val="00F40A4F"/>
    <w:rsid w:val="00F475C6"/>
    <w:rsid w:val="00F87FAB"/>
    <w:rsid w:val="00FE56F5"/>
    <w:rsid w:val="00FF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C7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6FE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6FE4"/>
  </w:style>
  <w:style w:type="table" w:styleId="a6">
    <w:name w:val="Table Grid"/>
    <w:basedOn w:val="a1"/>
    <w:uiPriority w:val="59"/>
    <w:rsid w:val="00C653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C7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6FE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6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E3A0-5923-44C3-9884-6F1C482A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974</Characters>
  <Application>Microsoft Office Word</Application>
  <DocSecurity>0</DocSecurity>
  <Lines>46</Lines>
  <Paragraphs>19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2021-06-02T00:57:00Z</cp:lastPrinted>
  <dcterms:created xsi:type="dcterms:W3CDTF">2021-09-30T01:54:00Z</dcterms:created>
  <dcterms:modified xsi:type="dcterms:W3CDTF">2021-09-30T01:54:00Z</dcterms:modified>
</cp:coreProperties>
</file>