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rPr>
          <w:rFonts w:ascii="华文中宋" w:hAnsi="华文中宋" w:eastAsia="华文中宋" w:cs="宋体"/>
          <w:color w:val="000000" w:themeColor="text1"/>
          <w:kern w:val="0"/>
          <w:sz w:val="30"/>
          <w:szCs w:val="30"/>
          <w:shd w:val="clear" w:color="auto" w:fill="FFFFFF" w:themeFill="background1"/>
        </w:rPr>
      </w:pPr>
      <w:r>
        <w:rPr>
          <w:rFonts w:hint="eastAsia" w:ascii="仿宋_GB2312" w:hAnsi="华文中宋" w:eastAsia="仿宋_GB2312" w:cs="宋体"/>
          <w:color w:val="000000" w:themeColor="text1"/>
          <w:kern w:val="0"/>
          <w:sz w:val="30"/>
          <w:szCs w:val="30"/>
          <w:shd w:val="clear" w:color="auto" w:fill="FFFFFF" w:themeFill="background1"/>
        </w:rPr>
        <w:t xml:space="preserve">附件2  </w:t>
      </w:r>
      <w:r>
        <w:rPr>
          <w:rFonts w:hint="eastAsia" w:ascii="华文中宋" w:hAnsi="华文中宋" w:eastAsia="华文中宋" w:cs="宋体"/>
          <w:color w:val="000000" w:themeColor="text1"/>
          <w:kern w:val="0"/>
          <w:sz w:val="30"/>
          <w:szCs w:val="30"/>
          <w:shd w:val="clear" w:color="auto" w:fill="FFFFFF" w:themeFill="background1"/>
        </w:rPr>
        <w:t xml:space="preserve">  </w:t>
      </w:r>
    </w:p>
    <w:p>
      <w:pPr>
        <w:widowControl/>
        <w:shd w:val="clear" w:color="auto" w:fill="FFFFFF"/>
        <w:adjustRightInd w:val="0"/>
        <w:snapToGrid w:val="0"/>
        <w:ind w:firstLine="1200" w:firstLineChars="40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 xml:space="preserve">  </w:t>
      </w:r>
      <w:bookmarkStart w:id="0" w:name="_GoBack"/>
      <w:r>
        <w:rPr>
          <w:rFonts w:hint="eastAsia" w:ascii="华文中宋" w:hAnsi="华文中宋" w:eastAsia="华文中宋" w:cs="宋体"/>
          <w:color w:val="000000" w:themeColor="text1"/>
          <w:kern w:val="0"/>
          <w:sz w:val="30"/>
          <w:szCs w:val="30"/>
          <w:shd w:val="clear" w:color="auto" w:fill="FFFFFF" w:themeFill="background1"/>
        </w:rPr>
        <w:t>2024年度浦东新区科技发展基金事业单位</w:t>
      </w:r>
    </w:p>
    <w:p>
      <w:pPr>
        <w:widowControl/>
        <w:shd w:val="clear" w:color="auto" w:fill="FFFFFF"/>
        <w:adjustRightInd w:val="0"/>
        <w:snapToGrid w:val="0"/>
        <w:ind w:firstLine="1500" w:firstLineChars="50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民生科研专项（医疗卫生）项目拟立项名单</w:t>
      </w:r>
    </w:p>
    <w:bookmarkEnd w:id="0"/>
    <w:tbl>
      <w:tblPr>
        <w:tblStyle w:val="4"/>
        <w:tblW w:w="7830" w:type="dxa"/>
        <w:jc w:val="center"/>
        <w:tblLayout w:type="fixed"/>
        <w:tblCellMar>
          <w:top w:w="0" w:type="dxa"/>
          <w:left w:w="30" w:type="dxa"/>
          <w:bottom w:w="0" w:type="dxa"/>
          <w:right w:w="30" w:type="dxa"/>
        </w:tblCellMar>
      </w:tblPr>
      <w:tblGrid>
        <w:gridCol w:w="739"/>
        <w:gridCol w:w="3971"/>
        <w:gridCol w:w="3120"/>
      </w:tblGrid>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序号</w:t>
            </w:r>
          </w:p>
        </w:tc>
        <w:tc>
          <w:tcPr>
            <w:tcW w:w="39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项目名称</w:t>
            </w:r>
          </w:p>
        </w:tc>
        <w:tc>
          <w:tcPr>
            <w:tcW w:w="31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项目承担单位</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基于DNA甲基化探讨枸杞多糖抗白内障作用的机制研究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复旦大学附属眼耳鼻喉科医院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基于血浆细胞外囊泡miRNA诊断预后模型预测cN0下咽癌颈部淋巴结隐匿性转移的应用研究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复旦大学附属眼耳鼻喉科医院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基于药物活性成分的低共熔凝胶体系的构建及其在阿尔兹海默症治疗上的应用</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CircAGFG1在骨关节炎进程中的作用及分子机制研究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构建代谢-成骨免疫多组学模型研究高尿酸血症患者感染性骨缺损的综合治疗疗效及机制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基于电化学适体传感技术的甲状腺球蛋白Tg和甲状腺球蛋白抗体TgAb检测技术的开发及临床应用</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BRD9调控eIF4A3染色质可及性增强NLRP3稳定性促进腹膜间皮细胞焦亡导致腹膜纤维化的机制研究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ATPIF1调控的CD4+T细胞线粒体自噬在肝纤维化中的作用机制研究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上海市第六人民医院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硫酸镁产前暴露对早产儿代谢性骨病发病机制的深入探究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上海市第一妇婴保健院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宫颈菌群对宫颈高级别鳞状上皮内病变术后恢复和HPV转归的影响及机制研究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上海市第一妇婴保健院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多囊卵巢综合征患者卵巢刺激新方案的探索性研究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上海市第一妇婴保健院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circPTEN通过表观遗传途径调控骨肉瘤进展的机制研究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婴幼儿肺血灌注增加的小鼠模型的构建及靶向Mfap5+肺泡间质细胞治疗儿童肺高压的作用和机制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维生素B1挽救右心室容量过负荷所致心肌细胞成熟障碍的机制研究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压力过负荷通过转录因子MEF2D限制婴幼儿右心室心肌细胞横管成熟的作用及分子机制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乳酸乳球菌在儿童过敏性鼻炎过敏原特异性免疫治疗中的作用及其作为新型生物标志物的研究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靶向铁死亡逆转ROS1+肿瘤耐药的机制研究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上海交通大学医学院附属上海儿童医学中心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肌少症早期诊断方法与中医功法康复干预的智能系统开发</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消胀颗粒治疗慢性萎缩性胃炎的药效学评价及作用机制研究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宽缨酮对去势后雌性小鼠骨质疏松症防治机制研究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杠板归有效成分高车前素通过PI3K-AKT通路调控脂质合成及炎症改善非酒精性脂肪肝的作用研究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上海市第七人民医院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富含ACE基因编辑的巨噬细胞水凝胶治疗椎间盘退变的分子机制研究 </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心肌补片荷载小分子核酸促进受损心肌组织修复的功能及机制研究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小分子化合物NP104通过调节Treg细胞分化和功能减轻溃疡性结肠炎的作用及机制研究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BMP9在肠道微血管屏障维持及IBD发生中的功能与机制研究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幽门螺杆菌通过调控E3 泛素连接酶TRIM31促进胃印戒细胞癌侵袭转移及化疗耐药的机制研究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上海市东方医院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仿生纳米佐剂在HBV相关肝癌治疗中的应用</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内皮细胞Foxp1稳定心脏内皮屏障功能减轻脓毒症心肌损伤的机制研究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HPV靶向PPARA调控细胞自噬促进鼻内翻性乳头状瘤发生的机制研究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ELAVL1调控表观转录修饰在神经内分泌型前列腺癌中的作用与机制研究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上海市浦东新区公利医院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穴区ERK信号通路介导的ATP释放正反馈在针刺治疗骨性关节炎中的作用机制研究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上海市浦东新区光明中医医院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应用舌拭子在重点人群中开展亚临床结核主动筛查的探索研究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上海市浦东新区疾病预防控制中心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基于内囊前肢结构与功能的强迫症精准调控及其神经机制研究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上海市浦东新区精神卫生中心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伏隔核脑深部电刺激缓解小鼠抑郁样行为的作用机制研究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上海市浦东新区精神卫生中心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基于白细胞DNA甲基化特征诊断骨质疏松症的生物标志物鉴定研究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上海市浦东新区老年医院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基于激活生命机能的安宁疗护综合干预对肿瘤患者生存质量影响的诊治方案研究 </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上海市浦东新区老年医院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基于双模态电生理信号和深度学习的抑郁症识别方法研究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上海市浦东新区南汇精神卫生中心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转录因子ZEB1调控成纤维细胞活化及细胞外基质重塑在心脏纤维化中的作用及机制研究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上海市浦东新区浦南医院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生物钟经HYOU1 RNA的m6A修饰调控肝细胞铜死亡（Cuproptosis）介入NAFLD的分子机制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上海市浦东新区浦南医院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基于长链多价核酸适体的个性化全细胞癌症疫苗的构建和应用</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上海市浦东新区浦南医院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METTL14介导的PFKFB4 m6A甲基化修饰通过肝星状细胞糖酵解调控肝纤维化的分子机制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上海市浦东新区浦南医院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c-Ski负性调节TGF-β1/Smad信号通路在犬房颤中的作用</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类淋巴系统及星形胶质细胞水通道蛋白-4参与缺血性脑水肿的机制研究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巨单胞菌通过乳酸激活Th17细胞加速轻度认知功能损害进展的作用机制研究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上海市浦东新区人民医院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基于类器官培养模型预测晚期结直肠腹膜转移瘤治疗效果的机制研究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上海市浦东新区中医医院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降脂通脉饮基于AMPK/mTOR信号通路调控高脂血症伴骨质疏松自噬的机制研究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补肾活血方通过CircRNAGRB10调控血管内皮祖细胞SIRT1/CXCL12-CXCR4/CXCR7生物轴延缓椎间盘退变的机制研究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PKC/NFκB途径介导Tfc细胞活化在冠状动脉粥样硬化性心脏病中的作用机制研究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 xml:space="preserve">非编码RNA表达对Dex协同rIPC时心肌缺血 再灌注损伤保护作用机制的研究 </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SLC1A5介导铁死亡信号通路调节子宫内膜异位症发生的机制研究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上海市浦东新区周浦医院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51</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ROS响应型干细胞“背包”用于创伤性脑损伤后的全过程治疗研究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上海市浦东医院（复旦大学附属浦东医院）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52</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FAPI 介导的α核素内照射辅助增强实体瘤 PD-1/PD-L1 免疫阻断疗效的研究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上海市浦东医院（复旦大学附属浦东医院）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53</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脑类淋巴及脑网络功能异常在 CMBs 认知障碍发生发展中的作用及机制研究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上海市浦东医院（复旦大学附属浦东医院）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54</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线粒体二羧酸载体SLC25A10入核调控 BCL2A1 表达抑制肝癌细胞凋亡的机制研究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上海市浦东医院（复旦大学附属浦东医院）</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55</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基于MRI-多组学融合的腔面型乳腺癌异质性可视化及精准诊疗研究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56</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意义中心团体心理干预方案对中青年粒子治疗肿瘤患者生命意义感的影响</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57</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基于多模态成像技术的立式粒子放疗定位精度与影响因素研究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58</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初治鼻咽癌光子联合碳离子放射治疗后复发转移miRNA预测标志物及机制研究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59</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局部晚期非小细胞肺癌碳离子放疗的治疗响应代谢指纹和预测研究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上海市质子重离子临床技术研发中心</w:t>
            </w:r>
          </w:p>
        </w:tc>
      </w:tr>
      <w:tr>
        <w:tblPrEx>
          <w:tblCellMar>
            <w:top w:w="0" w:type="dxa"/>
            <w:left w:w="30" w:type="dxa"/>
            <w:bottom w:w="0" w:type="dxa"/>
            <w:right w:w="30" w:type="dxa"/>
          </w:tblCellMar>
        </w:tblPrEx>
        <w:trPr>
          <w:trHeight w:val="802"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60</w:t>
            </w:r>
          </w:p>
        </w:tc>
        <w:tc>
          <w:tcPr>
            <w:tcW w:w="3971"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碳离子放疗联合PD-1单抗在头颈部肿瘤中通过调控cGAS-STING通路诱导抗肿瘤协同效应的作用机制研究</w:t>
            </w:r>
          </w:p>
        </w:tc>
        <w:tc>
          <w:tcPr>
            <w:tcW w:w="312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宋体"/>
                <w:color w:val="000000"/>
                <w:sz w:val="22"/>
              </w:rPr>
            </w:pPr>
            <w:r>
              <w:rPr>
                <w:rFonts w:hint="eastAsia"/>
                <w:color w:val="000000"/>
                <w:sz w:val="22"/>
              </w:rPr>
              <w:t>上海市质子重离子临床技术研发中心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02"/>
    <w:rsid w:val="000C40E4"/>
    <w:rsid w:val="002A5062"/>
    <w:rsid w:val="0033359D"/>
    <w:rsid w:val="003557B8"/>
    <w:rsid w:val="00435C70"/>
    <w:rsid w:val="004B30F2"/>
    <w:rsid w:val="004E3E02"/>
    <w:rsid w:val="005145AF"/>
    <w:rsid w:val="006B6E88"/>
    <w:rsid w:val="00766ED0"/>
    <w:rsid w:val="008D0C79"/>
    <w:rsid w:val="009E7E37"/>
    <w:rsid w:val="00A442EB"/>
    <w:rsid w:val="00A93745"/>
    <w:rsid w:val="00BC0E4F"/>
    <w:rsid w:val="00BE6A12"/>
    <w:rsid w:val="00C51E1B"/>
    <w:rsid w:val="00DD7DC6"/>
    <w:rsid w:val="00E4625F"/>
    <w:rsid w:val="00E85817"/>
    <w:rsid w:val="00ED0FF0"/>
    <w:rsid w:val="00EE5C38"/>
    <w:rsid w:val="00F53416"/>
    <w:rsid w:val="E2F6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679</Words>
  <Characters>3874</Characters>
  <Lines>32</Lines>
  <Paragraphs>9</Paragraphs>
  <TotalTime>242</TotalTime>
  <ScaleCrop>false</ScaleCrop>
  <LinksUpToDate>false</LinksUpToDate>
  <CharactersWithSpaces>4544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2022-09-19T14:48:00Z</dcterms:created>
  <dc:creator>admin</dc:creator>
  <cp:lastModifiedBy>user</cp:lastModifiedBy>
  <cp:lastPrinted>2023-08-08T15:23:00Z</cp:lastPrinted>
  <dcterms:modified xsi:type="dcterms:W3CDTF">2024-09-23T16:58:12Z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34E42608B3FA4617A42DF16637DB6B6E</vt:lpwstr>
  </property>
</Properties>
</file>