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D62B2">
      <w:pPr>
        <w:pStyle w:val="2"/>
        <w:jc w:val="center"/>
      </w:pPr>
      <w:r>
        <w:rPr>
          <w:rFonts w:hint="eastAsia"/>
        </w:rPr>
        <w:t>提案第137号</w:t>
      </w:r>
      <w:r>
        <w:rPr>
          <w:rFonts w:hint="eastAsia"/>
          <w:lang w:val="en-US" w:eastAsia="zh-CN"/>
        </w:rPr>
        <w:t xml:space="preserve">    </w:t>
      </w:r>
      <w:r>
        <w:t>关于健全科技企业创新生态系统，助推经济高质量发展</w:t>
      </w:r>
    </w:p>
    <w:p w14:paraId="6EC57318">
      <w:pPr>
        <w:pStyle w:val="2"/>
        <w:jc w:val="center"/>
        <w:rPr>
          <w:b w:val="0"/>
          <w:bCs w:val="0"/>
          <w:sz w:val="48"/>
          <w:szCs w:val="48"/>
          <w:vertAlign w:val="subscript"/>
        </w:rPr>
      </w:pPr>
      <w:r>
        <w:rPr>
          <w:rFonts w:hint="eastAsia"/>
          <w:b w:val="0"/>
          <w:bCs w:val="0"/>
          <w:sz w:val="48"/>
          <w:szCs w:val="48"/>
          <w:vertAlign w:val="subscript"/>
        </w:rPr>
        <w:t>陈运文 浦东政协 科技技术界别</w:t>
      </w:r>
    </w:p>
    <w:p w14:paraId="34F12A53">
      <w:pPr>
        <w:pStyle w:val="3"/>
      </w:pPr>
      <w:r>
        <w:t>一、提案背景</w:t>
      </w:r>
    </w:p>
    <w:p w14:paraId="22F1804E">
      <w:pPr>
        <w:pStyle w:val="17"/>
        <w:ind w:firstLine="420"/>
      </w:pPr>
      <w:r>
        <w:t>浦东新区作为上海市乃至全国瞩目的科技创新高地，凭借其优越的地理位置、完善的基础设施以及丰富的政策资源，吸引并集聚了大量的科技企业</w:t>
      </w:r>
      <w:bookmarkStart w:id="3" w:name="_GoBack"/>
      <w:bookmarkEnd w:id="3"/>
      <w:r>
        <w:t>。这些企业涵盖了人工智能、生物医药、集成电路、新能源等多个战略性新兴产业领域，它们以创新为驱动，不断突破技术瓶颈，推出一系列具有创新性和竞争力的产品与服务，在推动区域经济多元化发展、加速传统产业转型升级以及引领新兴技术突破等方面发挥着无可替代的关键作用。</w:t>
      </w:r>
    </w:p>
    <w:p w14:paraId="25D3F51F">
      <w:pPr>
        <w:pStyle w:val="17"/>
        <w:ind w:firstLine="420"/>
      </w:pPr>
      <w:r>
        <w:t>在经济发展层面，科技企业已然成为浦东新区经济增长的核心引擎。它们不仅创造了大量的就业岗位，吸纳了众多高素质人才，稳定了社会就业大局，还通过技术创新和产业升级，推动了上下游产业链的协同发展，极大地提升了区域经济的附加值和竞争力。例如，在集成电路产业领域，浦东新区的科技企业从芯片设计、制造到封装测试，形成了完整的产业链条，带动了相关配套产业的蓬勃发展，为区域经济增长注入了强劲动力。</w:t>
      </w:r>
    </w:p>
    <w:p w14:paraId="4F6F765C">
      <w:pPr>
        <w:pStyle w:val="17"/>
        <w:ind w:firstLine="420"/>
      </w:pPr>
      <w:r>
        <w:t>在产业升级方面，科技企业凭借先进的技术和创新理念，不断推动传统产业向智能化、绿色化、高端化方向迈进。以制造业为例，众多科技企业通过引入智能制造技术，实现了生产过程的自动化、数字化和智能化，有效提高了生产效率、降低了生产成本，同时提升了产品质量和市场竞争力，助力传统制造业成功转型升级。</w:t>
      </w:r>
    </w:p>
    <w:p w14:paraId="30D0E4EF">
      <w:pPr>
        <w:pStyle w:val="17"/>
        <w:ind w:firstLine="420"/>
      </w:pPr>
      <w:r>
        <w:t>然而，在科技企业蓬勃发展的背后，当前其在创新进程中仍面临着诸多挑战。在当前科技创新企业发展进程中，股权投资方面存在显著欠缺。一方面，资金供给规模不足，面对众多极具潜力的科创企业，市场上可投入的资金量难以满足其成长需求，导致部分优质项目因资金短缺而发展受限。另一方面，投资结构失衡，多集中于发展中后期企业，早期创新型企业获投难度大。此外，投资风险分担机制不完善，投资者因忌惮高风险而裹足不前。这些问题严重制约了科技创新企业的蓬勃发展，急需政府及相关部门加大帮扶力度，营造更优的股权投资生态环境 。</w:t>
      </w:r>
    </w:p>
    <w:p w14:paraId="7261E6E3">
      <w:pPr>
        <w:pStyle w:val="17"/>
        <w:ind w:firstLine="420"/>
      </w:pPr>
      <w:r>
        <w:t>当科技成果在企业进行实践应用时，面临着诸多挑战，</w:t>
      </w:r>
      <w:r>
        <w:rPr>
          <w:rFonts w:hint="eastAsia"/>
        </w:rPr>
        <w:t>也需要</w:t>
      </w:r>
      <w:r>
        <w:t>各界给予大力支持。首先，企业在引进新技术初期，往往缺乏配套的技术指导与培训，导致应用效率低下。政府及科研机构应组织专业团队，深入企业开展技术培训，帮助员工熟练掌握新成果的操作技巧。</w:t>
      </w:r>
    </w:p>
    <w:p w14:paraId="30E3833C">
      <w:pPr>
        <w:pStyle w:val="17"/>
        <w:ind w:firstLine="420"/>
      </w:pPr>
    </w:p>
    <w:p w14:paraId="1B978D81">
      <w:pPr>
        <w:pStyle w:val="17"/>
        <w:ind w:firstLine="420"/>
      </w:pPr>
      <w:r>
        <w:t>。</w:t>
      </w:r>
    </w:p>
    <w:p w14:paraId="797912F4">
      <w:pPr>
        <w:pStyle w:val="17"/>
        <w:ind w:firstLine="420"/>
      </w:pPr>
      <w:r>
        <w:t>这些问题相互交织，制约了科技企业的创新活力和可持续发展能力，进而对浦东新区经济的高质量发展和运行效率的提升形成了阻碍。因此，健全科技企业创新生态系统已成为当前待解决的重要任务。</w:t>
      </w:r>
    </w:p>
    <w:p w14:paraId="34D92389">
      <w:pPr>
        <w:pStyle w:val="3"/>
      </w:pPr>
      <w:r>
        <w:t>二、存在的问题</w:t>
      </w:r>
    </w:p>
    <w:p w14:paraId="728D404E">
      <w:pPr>
        <w:pStyle w:val="17"/>
        <w:ind w:firstLine="420"/>
        <w:rPr>
          <w:b/>
          <w:bCs/>
        </w:rPr>
      </w:pPr>
      <w:bookmarkStart w:id="0" w:name="OLE_LINK2"/>
      <w:bookmarkStart w:id="1" w:name="OLE_LINK1"/>
      <w:r>
        <w:rPr>
          <w:b/>
          <w:bCs/>
        </w:rPr>
        <w:t>科创企业股权投资与金融支持的不足</w:t>
      </w:r>
    </w:p>
    <w:bookmarkEnd w:id="0"/>
    <w:p w14:paraId="2FE8E021">
      <w:pPr>
        <w:pStyle w:val="17"/>
        <w:ind w:firstLine="420"/>
      </w:pPr>
      <w:r>
        <w:t>在当今科技创新驱动发展的时代，科创企业对于推动经济转型升级、提升国家竞争力至关重要。然而，目前科创企业在发展过程中，面临着严重的股权投资和金融支持短缺问题。其一，股权投资市场对科创企业的资金注入远不能满足其需求。许多初创期的科创企业，虽拥有极具潜力的技术和创新理念，但因风险高、前景不确定性大，难以吸引足够的股权投资。其二，金融机构的传统信贷模式与科创企业特点不匹配。科创企业资产多为无形资产，缺乏可抵押的固定资产，不符合银行等金融机构的传统贷款标准，导致其融资渠道狭窄。这种资金支持的不足，极大地限制了科创企业的研发投入、人才招募和市场拓展，阻碍了它们的成长与发展。</w:t>
      </w:r>
    </w:p>
    <w:p w14:paraId="13EB2C21">
      <w:pPr>
        <w:pStyle w:val="17"/>
        <w:ind w:firstLine="420"/>
        <w:rPr>
          <w:rFonts w:hint="eastAsia"/>
          <w:b/>
          <w:bCs/>
        </w:rPr>
      </w:pPr>
      <w:bookmarkStart w:id="2" w:name="OLE_LINK3"/>
      <w:r>
        <w:rPr>
          <w:b/>
          <w:bCs/>
        </w:rPr>
        <w:t>科创企业人工智能落地应用推广宣传</w:t>
      </w:r>
    </w:p>
    <w:p w14:paraId="4008B52C">
      <w:pPr>
        <w:pStyle w:val="17"/>
        <w:ind w:firstLine="420"/>
      </w:pPr>
      <w:r>
        <w:t>随着人工智能技术的飞速发展，科创企业在人工智能领域取得了不少成果，但在落地应用方面的推广宣传存在诸多问题。一方面，对人工智能应用场景的挖掘和宣传不够深入。许多企业虽然研发出了先进的人工智能技术，但未能有效向潜在用户展示其在实际场景中的应用价值，导致大量优秀的人工智能产品和服务不为市场所熟知。另一方面，推广渠道有限且缺乏针对性。现有的推广方式往往未能精准触达目标客户群体，无法引起相关行业的关注和重视。此外，在宣传内容上，缺乏通俗易懂的阐释，使得非专业人士难以理解人工智能技术的优势和实际应用效果。这不仅影响了科创企业人工智能产品的市场接受度，也阻碍了人工智能技术在各行业的广泛应用和深度融合。</w:t>
      </w:r>
    </w:p>
    <w:bookmarkEnd w:id="2"/>
    <w:p w14:paraId="5ADB7C29">
      <w:pPr>
        <w:pStyle w:val="17"/>
        <w:ind w:firstLine="420"/>
      </w:pPr>
      <w:r>
        <w:t>此外，将人工智能技术应用于企业的研发设计、生产制造、运营管理等环节，需要对企业现有的业务流程和管理模式进行全面的变革和优化，这对于许多企业来说是一项巨大的挑战。例如，在研发设计环节，利用人工智能大模型进行数据分析和模拟，可以快速筛选出最优的设计方案，但这需要企业具备完善的数据管理体系和高效的计算能力，许多企业目前还无法满足这些条件。在运营管理方面，人工智能大模型可以实现智能决策、精准营销等功能，但这需要企业打破传统的管理模式，建立适应新技术的管理流程和组织架构，许多企业在这方面还存在较大的困难。由于这些原因，科技企业未能充分发挥人工智能等新技术对创新和发展的推动作用，在数字化、智能化转型的浪潮中逐渐落后。</w:t>
      </w:r>
    </w:p>
    <w:bookmarkEnd w:id="1"/>
    <w:p w14:paraId="3137245C">
      <w:pPr>
        <w:pStyle w:val="3"/>
        <w:numPr>
          <w:ilvl w:val="0"/>
          <w:numId w:val="1"/>
        </w:numPr>
      </w:pPr>
      <w:r>
        <w:t>建议</w:t>
      </w:r>
    </w:p>
    <w:p w14:paraId="69F6BAF5">
      <w:pPr>
        <w:pStyle w:val="17"/>
        <w:ind w:firstLine="420"/>
        <w:rPr>
          <w:rFonts w:hint="eastAsia"/>
        </w:rPr>
      </w:pPr>
      <w:r>
        <w:rPr>
          <w:rFonts w:hint="eastAsia"/>
          <w:b/>
          <w:bCs/>
        </w:rPr>
        <w:t>面对浦东新区科创企业在股权投资与金融支持</w:t>
      </w:r>
      <w:r>
        <w:rPr>
          <w:rFonts w:hint="eastAsia"/>
        </w:rPr>
        <w:t>，可以多管齐下，全面优化生态环境。</w:t>
      </w:r>
    </w:p>
    <w:p w14:paraId="396F2CBC">
      <w:pPr>
        <w:pStyle w:val="17"/>
        <w:ind w:firstLine="420"/>
        <w:rPr>
          <w:rFonts w:hint="eastAsia"/>
        </w:rPr>
      </w:pPr>
      <w:r>
        <w:rPr>
          <w:rFonts w:hint="eastAsia"/>
        </w:rPr>
        <w:t>政策层面，政府应完善风险补偿机制，对投资科创企业遭受损失的投资机构给予一定比例的补偿，降低投资风险，增强社会资本参与积极性。同时，给予投资科创企业的机构税收优惠，如减免资本利得税等，提升投资回报率。</w:t>
      </w:r>
    </w:p>
    <w:p w14:paraId="7913F911">
      <w:pPr>
        <w:pStyle w:val="17"/>
        <w:ind w:firstLine="420"/>
        <w:rPr>
          <w:rFonts w:hint="eastAsia"/>
        </w:rPr>
      </w:pPr>
      <w:r>
        <w:rPr>
          <w:rFonts w:hint="eastAsia"/>
        </w:rPr>
        <w:t>金融服务要持续创新。除开展知识产权质押贷款、投贷联动业务外，推动金融机构与担保公司合作，为科创企业提供信用担保，降低融资门槛。鼓励设立科技金融专营机构，配备专业团队，为科创企业提供定制化金融服务。</w:t>
      </w:r>
    </w:p>
    <w:p w14:paraId="2D06959F">
      <w:pPr>
        <w:pStyle w:val="17"/>
        <w:ind w:firstLine="420"/>
        <w:rPr>
          <w:b/>
          <w:bCs/>
        </w:rPr>
      </w:pPr>
      <w:r>
        <w:rPr>
          <w:rFonts w:hint="eastAsia"/>
        </w:rPr>
        <w:t>人才培养不可或缺。与高校、科研机构合作，开设针对科创企业投融资的专业课程和培训项目，培养既懂科技又熟悉金融的复合型人才。建立人才交流平台，促进人才在政府、金融机构、科创企业间流动，为科创企业发展提供智力支持。此外，还应加强对科创企业的金融知识普及，帮助企业更好地规划融资策略，对接金融资源，全方位推动浦东新区科创企业发展</w:t>
      </w:r>
      <w:r>
        <w:rPr>
          <w:rFonts w:hint="eastAsia"/>
          <w:b/>
          <w:bCs/>
        </w:rPr>
        <w:t>。</w:t>
      </w:r>
    </w:p>
    <w:p w14:paraId="6DA00E0B">
      <w:pPr>
        <w:pStyle w:val="17"/>
        <w:ind w:firstLine="420"/>
      </w:pPr>
      <w:r>
        <w:t>政府应完善科技金融体系，引导金融机构加大对科技企业的信贷支持力度。建立科技企业信用评价体系，综合考虑企业的技术创新能力、市场前景、财务状况等因素，对企业进行信用评级，为金融机构提供信贷决策依据。鼓励金融机构创新金融产品和服务，针对科技企业的特点，开发知识产权质押贷款、科技成果转化贷款、股权质押贷款等特色信贷产品。例如，对于拥有核心知识产权的科技企业，可以开展知识产权质押贷款业务，将企业的知识产权作为抵押物，为企业提供贷款支持。鼓励社会资本参与科技企业创新投资。政府可以设立科技创业投资基金，通过参股、跟进投资等方式，引导社会资本投向科技企业的创新项目。例如，政府出资设立母基金，吸引社会资本设立子基金，共同投资科技企业的早期项目，为企业提供资金支持。此外，政府可以出台税收优惠政策，对投资科技企业的社会资本给予一定的税收减免，提高社会资本的投资积极性，为科技企业的创新发展提供充足的资金保障。</w:t>
      </w:r>
    </w:p>
    <w:p w14:paraId="596F7B60">
      <w:pPr>
        <w:pStyle w:val="17"/>
        <w:rPr>
          <w:b/>
          <w:bCs/>
        </w:rPr>
      </w:pPr>
    </w:p>
    <w:p w14:paraId="4D222769">
      <w:pPr>
        <w:pStyle w:val="17"/>
        <w:ind w:firstLine="440" w:firstLineChars="200"/>
      </w:pPr>
      <w:r>
        <w:rPr>
          <w:b/>
          <w:bCs/>
        </w:rPr>
        <w:t>科创企业人工智能落地应用推广宣传的对策</w:t>
      </w:r>
      <w:r>
        <w:rPr>
          <w:rFonts w:hint="eastAsia"/>
          <w:b/>
          <w:bCs/>
        </w:rPr>
        <w:t>，</w:t>
      </w:r>
      <w:r>
        <w:rPr>
          <w:rFonts w:hint="eastAsia"/>
        </w:rPr>
        <w:t>建议</w:t>
      </w:r>
      <w:r>
        <w:t>可采取以下有力措施。在应用场景方面，政府或行业协会应牵头组织专业团队，深入调研各行业需求，与科创企业共同挖掘人工智能的创新应用场景，并制作详细的案例集，向市场展示其实际价值。</w:t>
      </w:r>
    </w:p>
    <w:p w14:paraId="324ED464">
      <w:pPr>
        <w:pStyle w:val="17"/>
        <w:ind w:firstLine="420"/>
      </w:pPr>
      <w:r>
        <w:t>推广渠道上，除传统媒体外，要充分利用社交媒体平台、行业垂直网站和线上论坛等。针对不同行业的目标客户群体，制定个性化推广方案。比如，针对医疗行业，可在专业医疗论坛发布人工智能辅助诊断的成果；针对制造业，在智能制造相关平台展示人工智能优化生产流程的应用。</w:t>
      </w:r>
    </w:p>
    <w:p w14:paraId="1536D3BA">
      <w:pPr>
        <w:pStyle w:val="17"/>
        <w:ind w:firstLine="420"/>
      </w:pPr>
      <w:r>
        <w:t>宣传内容要注重通俗易懂。邀请科普专家与企业技术人员合作，将复杂的人工智能技术以简单易懂的语言呈现给大众。采用动画、短视频等形式，直观展示人工智能产品的操作方法和应用效果。同时，举办线下体验活动，让非专业人士亲身体验人工智能的优势。通过这些举措，全方位提升科创企业人工智能成果的推广宣传效果，加速其在各行业的广泛应用与深度融合。</w:t>
      </w:r>
    </w:p>
    <w:p w14:paraId="4D9FF663">
      <w:pPr>
        <w:pStyle w:val="17"/>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335BF"/>
    <w:multiLevelType w:val="multilevel"/>
    <w:tmpl w:val="69B335BF"/>
    <w:lvl w:ilvl="0" w:tentative="0">
      <w:start w:val="3"/>
      <w:numFmt w:val="japaneseCounting"/>
      <w:lvlText w:val="%1、"/>
      <w:lvlJc w:val="left"/>
      <w:pPr>
        <w:ind w:left="640" w:hanging="6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47"/>
    <w:rsid w:val="000C7882"/>
    <w:rsid w:val="0022296C"/>
    <w:rsid w:val="00244DEC"/>
    <w:rsid w:val="00290547"/>
    <w:rsid w:val="00693E10"/>
    <w:rsid w:val="00922FED"/>
    <w:rsid w:val="00993ADB"/>
    <w:rsid w:val="00AB4917"/>
    <w:rsid w:val="00BD7C6D"/>
    <w:rsid w:val="00D75EFD"/>
    <w:rsid w:val="00DA3CE6"/>
    <w:rsid w:val="00DD73DE"/>
    <w:rsid w:val="00EC2189"/>
    <w:rsid w:val="00F44F1A"/>
    <w:rsid w:val="450F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paragraph" w:styleId="2">
    <w:name w:val="heading 1"/>
    <w:qFormat/>
    <w:uiPriority w:val="9"/>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unhideWhenUsed/>
    <w:qFormat/>
    <w:uiPriority w:val="9"/>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semiHidden/>
    <w:unhideWhenUsed/>
    <w:qFormat/>
    <w:uiPriority w:val="9"/>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semiHidden/>
    <w:unhideWhenUsed/>
    <w:qFormat/>
    <w:uiPriority w:val="9"/>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semiHidden/>
    <w:unhideWhenUsed/>
    <w:qFormat/>
    <w:uiPriority w:val="9"/>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semiHidden/>
    <w:unhideWhenUsed/>
    <w:qFormat/>
    <w:uiPriority w:val="9"/>
    <w:pPr>
      <w:spacing w:before="240" w:after="120" w:line="288" w:lineRule="auto"/>
      <w:outlineLvl w:val="5"/>
    </w:pPr>
    <w:rPr>
      <w:rFonts w:ascii="Arial" w:hAnsi="Arial" w:eastAsia="等线" w:cs="Arial"/>
      <w:b/>
      <w:bCs/>
      <w:sz w:val="24"/>
      <w:szCs w:val="24"/>
      <w:lang w:val="en-US" w:eastAsia="zh-CN" w:bidi="ar-SA"/>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note text"/>
    <w:link w:val="16"/>
    <w:semiHidden/>
    <w:unhideWhenUsed/>
    <w:qFormat/>
    <w:uiPriority w:val="99"/>
    <w:rPr>
      <w:rFonts w:ascii="Times New Roman" w:hAnsi="Times New Roman" w:cs="Times New Roman" w:eastAsiaTheme="minorEastAsia"/>
      <w:lang w:val="en-US" w:eastAsia="zh-CN" w:bidi="ar-SA"/>
    </w:rPr>
  </w:style>
  <w:style w:type="paragraph" w:styleId="9">
    <w:name w:val="Title"/>
    <w:qFormat/>
    <w:uiPriority w:val="10"/>
    <w:pPr>
      <w:spacing w:before="480" w:after="480" w:line="288" w:lineRule="auto"/>
    </w:pPr>
    <w:rPr>
      <w:rFonts w:ascii="Arial" w:hAnsi="Arial" w:eastAsia="等线" w:cs="Arial"/>
      <w:b/>
      <w:bCs/>
      <w:sz w:val="52"/>
      <w:szCs w:val="52"/>
      <w:lang w:val="en-US" w:eastAsia="zh-CN" w:bidi="ar-SA"/>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customStyle="1" w:styleId="14">
    <w:name w:val="要点1"/>
    <w:qFormat/>
    <w:uiPriority w:val="0"/>
    <w:rPr>
      <w:rFonts w:ascii="Times New Roman" w:hAnsi="Times New Roman" w:cs="Times New Roman" w:eastAsiaTheme="minorEastAsia"/>
      <w:b/>
      <w:bCs/>
      <w:lang w:val="en-US" w:eastAsia="zh-CN" w:bidi="ar-SA"/>
    </w:rPr>
  </w:style>
  <w:style w:type="paragraph" w:styleId="15">
    <w:name w:val="List Paragraph"/>
    <w:qFormat/>
    <w:uiPriority w:val="0"/>
    <w:rPr>
      <w:rFonts w:ascii="Times New Roman" w:hAnsi="Times New Roman" w:cs="Times New Roman" w:eastAsiaTheme="minorEastAsia"/>
      <w:lang w:val="en-US" w:eastAsia="zh-CN" w:bidi="ar-SA"/>
    </w:rPr>
  </w:style>
  <w:style w:type="character" w:customStyle="1" w:styleId="16">
    <w:name w:val="脚注文本 字符"/>
    <w:link w:val="8"/>
    <w:semiHidden/>
    <w:unhideWhenUsed/>
    <w:qFormat/>
    <w:uiPriority w:val="99"/>
    <w:rPr>
      <w:sz w:val="20"/>
      <w:szCs w:val="20"/>
    </w:rPr>
  </w:style>
  <w:style w:type="paragraph" w:customStyle="1" w:styleId="17">
    <w:name w:val="2"/>
    <w:qFormat/>
    <w:uiPriority w:val="0"/>
    <w:pPr>
      <w:spacing w:before="120" w:after="120" w:line="288" w:lineRule="auto"/>
    </w:pPr>
    <w:rPr>
      <w:rFonts w:ascii="Arial" w:hAnsi="Arial" w:eastAsia="等线" w:cs="Arial"/>
      <w:sz w:val="22"/>
      <w:szCs w:val="22"/>
      <w:lang w:val="en-US" w:eastAsia="zh-CN" w:bidi="ar-SA"/>
    </w:rPr>
  </w:style>
  <w:style w:type="paragraph" w:customStyle="1" w:styleId="18">
    <w:name w:val="1"/>
    <w:qFormat/>
    <w:uiPriority w:val="0"/>
    <w:pPr>
      <w:spacing w:before="120" w:after="120" w:line="288" w:lineRule="auto"/>
    </w:pPr>
    <w:rPr>
      <w:rFonts w:ascii="Arial" w:hAnsi="Arial" w:eastAsia="等线" w:cs="Arial"/>
      <w:color w:val="8F959E"/>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3136</Words>
  <Characters>3136</Characters>
  <Lines>22</Lines>
  <Paragraphs>6</Paragraphs>
  <TotalTime>116</TotalTime>
  <ScaleCrop>false</ScaleCrop>
  <LinksUpToDate>false</LinksUpToDate>
  <CharactersWithSpaces>3139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2025-01-08T05:36:00Z</dcterms:created>
  <dc:creator>Un-named</dc:creator>
  <cp:lastModifiedBy>唐乐乐</cp:lastModifiedBy>
  <dcterms:modified xsi:type="dcterms:W3CDTF">2025-01-20T07:26:34Z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eyJoZGlkIjoiNmExMzQ0MTFmZTUzNmI0NjI0M2JkODAyZmE4MjU0MTQiLCJ1c2VySWQiOiIzNDkzMDMwNDUifQ==</vt:lpwstr>
  </property>
  <property fmtid="{D5CDD505-2E9C-101B-9397-08002B2CF9AE}" pid="3" name="KSOProductBuildVer">
    <vt:lpwstr>2052-12.1.0.19770</vt:lpwstr>
  </property>
  <property fmtid="{D5CDD505-2E9C-101B-9397-08002B2CF9AE}" pid="4" name="ICV">
    <vt:lpwstr>572F864BCD064352B8F1DD7A25DF7B51_12</vt:lpwstr>
  </property>
</Properties>
</file>