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eastAsia="黑体" w:cs="黑体"/>
          <w:sz w:val="32"/>
          <w:szCs w:val="32"/>
        </w:rPr>
      </w:pPr>
      <w:r>
        <w:rPr>
          <w:rFonts w:hint="eastAsia" w:eastAsia="黑体" w:cs="黑体"/>
          <w:sz w:val="32"/>
          <w:szCs w:val="32"/>
        </w:rPr>
        <w:t>附件</w:t>
      </w:r>
      <w:r>
        <w:rPr>
          <w:rFonts w:eastAsia="黑体" w:cs="黑体"/>
          <w:sz w:val="32"/>
          <w:szCs w:val="32"/>
        </w:rPr>
        <w:t>1</w:t>
      </w:r>
    </w:p>
    <w:p>
      <w:pPr>
        <w:adjustRightInd w:val="0"/>
        <w:snapToGrid w:val="0"/>
        <w:jc w:val="center"/>
        <w:rPr>
          <w:rFonts w:eastAsia="方正公文小标宋" w:cs="方正公文小标宋"/>
          <w:sz w:val="36"/>
          <w:szCs w:val="36"/>
        </w:rPr>
      </w:pPr>
      <w:r>
        <w:rPr>
          <w:rFonts w:cs="宋体"/>
          <w:sz w:val="24"/>
        </w:rPr>
        <w:fldChar w:fldCharType="begin"/>
      </w:r>
      <w:r>
        <w:rPr>
          <w:rFonts w:cs="宋体"/>
          <w:sz w:val="24"/>
        </w:rPr>
        <w:instrText xml:space="preserve"> </w:instrText>
      </w:r>
      <w:r>
        <w:rPr>
          <w:rFonts w:hint="eastAsia" w:cs="宋体"/>
          <w:sz w:val="24"/>
        </w:rPr>
        <w:instrText xml:space="preserve">INCLUDEPICTURE  "C:\\Users\\hr\\AppData\\Local\\Temp\\企业微信截图_17127338809613.png" \* MERGEFORMATINET</w:instrText>
      </w:r>
      <w:r>
        <w:rPr>
          <w:rFonts w:cs="宋体"/>
          <w:sz w:val="24"/>
        </w:rPr>
        <w:instrText xml:space="preserve"> </w:instrText>
      </w:r>
      <w:r>
        <w:rPr>
          <w:rFonts w:cs="宋体"/>
          <w:sz w:val="24"/>
        </w:rPr>
        <w:fldChar w:fldCharType="separate"/>
      </w:r>
      <w:r>
        <w:rPr>
          <w:rFonts w:cs="宋体"/>
          <w:sz w:val="24"/>
        </w:rPr>
        <w:fldChar w:fldCharType="begin"/>
      </w:r>
      <w:r>
        <w:rPr>
          <w:rFonts w:cs="宋体"/>
          <w:sz w:val="24"/>
        </w:rPr>
        <w:instrText xml:space="preserve"> </w:instrText>
      </w:r>
      <w:r>
        <w:rPr>
          <w:rFonts w:hint="eastAsia" w:cs="宋体"/>
          <w:sz w:val="24"/>
        </w:rPr>
        <w:instrText xml:space="preserve">INCLUDEPICTURE  "C:\\Users\\hr\\AppData\\Local\\Temp\\企业微信截图_17127338809613.png" \* MERGEFORMATINET</w:instrText>
      </w:r>
      <w:r>
        <w:rPr>
          <w:rFonts w:cs="宋体"/>
          <w:sz w:val="24"/>
        </w:rPr>
        <w:instrText xml:space="preserve"> </w:instrText>
      </w:r>
      <w:r>
        <w:rPr>
          <w:rFonts w:cs="宋体"/>
          <w:sz w:val="24"/>
        </w:rPr>
        <w:fldChar w:fldCharType="separate"/>
      </w:r>
      <w:r>
        <w:rPr>
          <w:rFonts w:cs="宋体"/>
          <w:sz w:val="24"/>
        </w:rPr>
        <w:drawing>
          <wp:inline distT="0" distB="0" distL="114300" distR="114300">
            <wp:extent cx="8242935" cy="3111500"/>
            <wp:effectExtent l="0" t="0" r="1905"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rcRect l="479" t="7202" r="2304" b="3737"/>
                    <a:stretch>
                      <a:fillRect/>
                    </a:stretch>
                  </pic:blipFill>
                  <pic:spPr>
                    <a:xfrm>
                      <a:off x="0" y="0"/>
                      <a:ext cx="8242935" cy="3111500"/>
                    </a:xfrm>
                    <a:prstGeom prst="rect">
                      <a:avLst/>
                    </a:prstGeom>
                    <a:noFill/>
                    <a:ln>
                      <a:noFill/>
                    </a:ln>
                  </pic:spPr>
                </pic:pic>
              </a:graphicData>
            </a:graphic>
          </wp:inline>
        </w:drawing>
      </w:r>
      <w:r>
        <w:rPr>
          <w:rFonts w:cs="宋体"/>
          <w:sz w:val="24"/>
        </w:rPr>
        <w:fldChar w:fldCharType="end"/>
      </w:r>
      <w:r>
        <w:rPr>
          <w:rFonts w:cs="宋体"/>
          <w:sz w:val="24"/>
        </w:rPr>
        <w:fldChar w:fldCharType="end"/>
      </w:r>
    </w:p>
    <w:p>
      <w:pPr>
        <w:tabs>
          <w:tab w:val="left" w:pos="8222"/>
        </w:tabs>
        <w:wordWrap w:val="0"/>
        <w:snapToGrid w:val="0"/>
        <w:spacing w:line="560" w:lineRule="exact"/>
        <w:ind w:right="622" w:rightChars="296"/>
        <w:jc w:val="right"/>
        <w:rPr>
          <w:rFonts w:eastAsia="仿宋_GB2312"/>
          <w:color w:val="000000"/>
          <w:sz w:val="28"/>
          <w:szCs w:val="28"/>
        </w:rPr>
      </w:pPr>
    </w:p>
    <w:p>
      <w:pPr>
        <w:tabs>
          <w:tab w:val="left" w:pos="8222"/>
        </w:tabs>
        <w:wordWrap w:val="0"/>
        <w:snapToGrid w:val="0"/>
        <w:spacing w:line="560" w:lineRule="exact"/>
        <w:ind w:right="622" w:rightChars="296"/>
        <w:jc w:val="right"/>
        <w:rPr>
          <w:rFonts w:eastAsia="仿宋_GB2312"/>
          <w:color w:val="000000"/>
          <w:sz w:val="28"/>
          <w:szCs w:val="28"/>
        </w:rPr>
      </w:pPr>
    </w:p>
    <w:p>
      <w:pPr>
        <w:tabs>
          <w:tab w:val="left" w:pos="8222"/>
        </w:tabs>
        <w:wordWrap w:val="0"/>
        <w:snapToGrid w:val="0"/>
        <w:spacing w:line="560" w:lineRule="exact"/>
        <w:ind w:right="622" w:rightChars="296"/>
        <w:jc w:val="right"/>
        <w:rPr>
          <w:rFonts w:eastAsia="仿宋_GB2312"/>
          <w:color w:val="000000"/>
          <w:sz w:val="28"/>
          <w:szCs w:val="28"/>
        </w:rPr>
      </w:pPr>
    </w:p>
    <w:p>
      <w:pPr>
        <w:tabs>
          <w:tab w:val="left" w:pos="8222"/>
        </w:tabs>
        <w:wordWrap w:val="0"/>
        <w:snapToGrid w:val="0"/>
        <w:spacing w:line="560" w:lineRule="exact"/>
        <w:ind w:right="622" w:rightChars="296"/>
        <w:jc w:val="right"/>
        <w:rPr>
          <w:rFonts w:eastAsia="仿宋_GB2312"/>
          <w:color w:val="000000"/>
          <w:sz w:val="28"/>
          <w:szCs w:val="28"/>
        </w:rPr>
      </w:pPr>
    </w:p>
    <w:p>
      <w:pPr>
        <w:tabs>
          <w:tab w:val="left" w:pos="8222"/>
        </w:tabs>
        <w:wordWrap w:val="0"/>
        <w:snapToGrid w:val="0"/>
        <w:spacing w:line="560" w:lineRule="exact"/>
        <w:ind w:right="622" w:rightChars="296"/>
        <w:jc w:val="right"/>
        <w:rPr>
          <w:rFonts w:eastAsia="仿宋_GB2312"/>
          <w:color w:val="000000"/>
          <w:sz w:val="28"/>
          <w:szCs w:val="28"/>
        </w:rPr>
      </w:pPr>
    </w:p>
    <w:p>
      <w:pPr>
        <w:adjustRightInd w:val="0"/>
        <w:snapToGrid w:val="0"/>
        <w:jc w:val="left"/>
        <w:rPr>
          <w:rFonts w:eastAsia="黑体" w:cs="黑体"/>
          <w:sz w:val="32"/>
          <w:szCs w:val="32"/>
        </w:rPr>
      </w:pPr>
    </w:p>
    <w:p>
      <w:pPr>
        <w:adjustRightInd w:val="0"/>
        <w:snapToGrid w:val="0"/>
        <w:jc w:val="left"/>
        <w:rPr>
          <w:rFonts w:eastAsia="黑体" w:cs="黑体"/>
          <w:sz w:val="32"/>
          <w:szCs w:val="32"/>
        </w:rPr>
      </w:pPr>
      <w:r>
        <w:rPr>
          <w:rFonts w:hint="eastAsia" w:eastAsia="黑体" w:cs="黑体"/>
          <w:sz w:val="32"/>
          <w:szCs w:val="32"/>
        </w:rPr>
        <w:t>附件</w:t>
      </w:r>
      <w:r>
        <w:rPr>
          <w:rFonts w:eastAsia="黑体" w:cs="黑体"/>
          <w:sz w:val="32"/>
          <w:szCs w:val="32"/>
        </w:rPr>
        <w:t>2</w:t>
      </w:r>
    </w:p>
    <w:p>
      <w:pPr>
        <w:adjustRightInd w:val="0"/>
        <w:snapToGrid w:val="0"/>
        <w:jc w:val="center"/>
        <w:rPr>
          <w:rFonts w:eastAsia="方正公文小标宋" w:cs="方正公文小标宋"/>
          <w:sz w:val="36"/>
          <w:szCs w:val="36"/>
        </w:rPr>
      </w:pPr>
      <w:r>
        <w:rPr>
          <w:rFonts w:cs="宋体"/>
          <w:sz w:val="24"/>
        </w:rPr>
        <w:fldChar w:fldCharType="begin"/>
      </w:r>
      <w:r>
        <w:rPr>
          <w:rFonts w:cs="宋体"/>
          <w:sz w:val="24"/>
        </w:rPr>
        <w:instrText xml:space="preserve"> </w:instrText>
      </w:r>
      <w:r>
        <w:rPr>
          <w:rFonts w:hint="eastAsia" w:cs="宋体"/>
          <w:sz w:val="24"/>
        </w:rPr>
        <w:instrText xml:space="preserve">INCLUDEPICTURE  "C:\\Users\\hr\\AppData\\Local\\Temp\\企业微信截图_17127339442254.png" \* MERGEFORMATINET</w:instrText>
      </w:r>
      <w:r>
        <w:rPr>
          <w:rFonts w:cs="宋体"/>
          <w:sz w:val="24"/>
        </w:rPr>
        <w:instrText xml:space="preserve"> </w:instrText>
      </w:r>
      <w:r>
        <w:rPr>
          <w:rFonts w:cs="宋体"/>
          <w:sz w:val="24"/>
        </w:rPr>
        <w:fldChar w:fldCharType="separate"/>
      </w:r>
      <w:r>
        <w:rPr>
          <w:rFonts w:cs="宋体"/>
          <w:sz w:val="24"/>
        </w:rPr>
        <w:fldChar w:fldCharType="begin"/>
      </w:r>
      <w:r>
        <w:rPr>
          <w:rFonts w:cs="宋体"/>
          <w:sz w:val="24"/>
        </w:rPr>
        <w:instrText xml:space="preserve"> </w:instrText>
      </w:r>
      <w:r>
        <w:rPr>
          <w:rFonts w:hint="eastAsia" w:cs="宋体"/>
          <w:sz w:val="24"/>
        </w:rPr>
        <w:instrText xml:space="preserve">INCLUDEPICTURE  "C:\\Users\\hr\\AppData\\Local\\Temp\\企业微信截图_17127339442254.png" \* MERGEFORMATINET</w:instrText>
      </w:r>
      <w:r>
        <w:rPr>
          <w:rFonts w:cs="宋体"/>
          <w:sz w:val="24"/>
        </w:rPr>
        <w:instrText xml:space="preserve"> </w:instrText>
      </w:r>
      <w:r>
        <w:rPr>
          <w:rFonts w:cs="宋体"/>
          <w:sz w:val="24"/>
        </w:rPr>
        <w:fldChar w:fldCharType="separate"/>
      </w:r>
      <w:r>
        <w:rPr>
          <w:rFonts w:cs="宋体"/>
          <w:sz w:val="24"/>
        </w:rPr>
        <w:drawing>
          <wp:inline distT="0" distB="0" distL="114300" distR="114300">
            <wp:extent cx="7929245" cy="2974975"/>
            <wp:effectExtent l="0" t="0" r="10795" b="1206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rcRect l="764" t="8960" r="1903" b="3517"/>
                    <a:stretch>
                      <a:fillRect/>
                    </a:stretch>
                  </pic:blipFill>
                  <pic:spPr>
                    <a:xfrm>
                      <a:off x="0" y="0"/>
                      <a:ext cx="7929245" cy="2974975"/>
                    </a:xfrm>
                    <a:prstGeom prst="rect">
                      <a:avLst/>
                    </a:prstGeom>
                    <a:noFill/>
                    <a:ln>
                      <a:noFill/>
                    </a:ln>
                  </pic:spPr>
                </pic:pic>
              </a:graphicData>
            </a:graphic>
          </wp:inline>
        </w:drawing>
      </w:r>
      <w:r>
        <w:rPr>
          <w:rFonts w:cs="宋体"/>
          <w:sz w:val="24"/>
        </w:rPr>
        <w:fldChar w:fldCharType="end"/>
      </w:r>
      <w:r>
        <w:rPr>
          <w:rFonts w:cs="宋体"/>
          <w:sz w:val="24"/>
        </w:rPr>
        <w:fldChar w:fldCharType="end"/>
      </w:r>
    </w:p>
    <w:p>
      <w:pPr>
        <w:adjustRightInd w:val="0"/>
        <w:snapToGrid w:val="0"/>
        <w:jc w:val="left"/>
        <w:rPr>
          <w:rFonts w:eastAsia="黑体" w:cs="黑体"/>
          <w:sz w:val="32"/>
          <w:szCs w:val="32"/>
        </w:rPr>
      </w:pPr>
    </w:p>
    <w:p>
      <w:pPr>
        <w:tabs>
          <w:tab w:val="left" w:pos="8222"/>
        </w:tabs>
        <w:wordWrap w:val="0"/>
        <w:snapToGrid w:val="0"/>
        <w:spacing w:line="560" w:lineRule="exact"/>
        <w:ind w:right="622" w:rightChars="296"/>
        <w:jc w:val="right"/>
        <w:rPr>
          <w:rFonts w:eastAsia="仿宋_GB2312"/>
          <w:color w:val="000000"/>
          <w:sz w:val="28"/>
          <w:szCs w:val="28"/>
        </w:rPr>
      </w:pPr>
    </w:p>
    <w:p>
      <w:pPr>
        <w:tabs>
          <w:tab w:val="left" w:pos="8222"/>
        </w:tabs>
        <w:wordWrap w:val="0"/>
        <w:snapToGrid w:val="0"/>
        <w:spacing w:line="560" w:lineRule="exact"/>
        <w:ind w:right="622" w:rightChars="296"/>
        <w:jc w:val="right"/>
        <w:rPr>
          <w:rFonts w:eastAsia="仿宋_GB2312"/>
          <w:color w:val="000000"/>
          <w:sz w:val="28"/>
          <w:szCs w:val="28"/>
        </w:rPr>
      </w:pPr>
    </w:p>
    <w:p>
      <w:pPr>
        <w:tabs>
          <w:tab w:val="left" w:pos="8222"/>
        </w:tabs>
        <w:wordWrap w:val="0"/>
        <w:snapToGrid w:val="0"/>
        <w:spacing w:line="560" w:lineRule="exact"/>
        <w:ind w:right="622" w:rightChars="296"/>
        <w:jc w:val="right"/>
        <w:rPr>
          <w:rFonts w:eastAsia="仿宋_GB2312"/>
          <w:color w:val="000000"/>
          <w:sz w:val="28"/>
          <w:szCs w:val="28"/>
        </w:rPr>
      </w:pPr>
    </w:p>
    <w:p>
      <w:pPr>
        <w:tabs>
          <w:tab w:val="left" w:pos="8222"/>
        </w:tabs>
        <w:wordWrap/>
        <w:snapToGrid w:val="0"/>
        <w:spacing w:line="560" w:lineRule="exact"/>
        <w:ind w:right="622" w:rightChars="296"/>
        <w:jc w:val="right"/>
        <w:rPr>
          <w:rFonts w:eastAsia="仿宋_GB2312"/>
          <w:color w:val="000000"/>
          <w:sz w:val="28"/>
          <w:szCs w:val="28"/>
        </w:rPr>
      </w:pPr>
      <w:bookmarkStart w:id="0" w:name="_GoBack"/>
      <w:bookmarkEnd w:id="0"/>
    </w:p>
    <w:p>
      <w:pPr>
        <w:tabs>
          <w:tab w:val="left" w:pos="8222"/>
        </w:tabs>
        <w:wordWrap w:val="0"/>
        <w:snapToGrid w:val="0"/>
        <w:spacing w:line="560" w:lineRule="exact"/>
        <w:ind w:right="622" w:rightChars="296"/>
        <w:jc w:val="right"/>
        <w:rPr>
          <w:rFonts w:eastAsia="仿宋_GB2312"/>
          <w:color w:val="000000"/>
          <w:sz w:val="28"/>
          <w:szCs w:val="28"/>
        </w:rPr>
      </w:pPr>
    </w:p>
    <w:p>
      <w:pPr>
        <w:tabs>
          <w:tab w:val="left" w:pos="8222"/>
        </w:tabs>
        <w:wordWrap w:val="0"/>
        <w:snapToGrid w:val="0"/>
        <w:spacing w:line="560" w:lineRule="exact"/>
        <w:ind w:right="622" w:rightChars="296"/>
        <w:jc w:val="right"/>
        <w:rPr>
          <w:rFonts w:eastAsia="仿宋_GB2312"/>
          <w:color w:val="000000"/>
          <w:sz w:val="28"/>
          <w:szCs w:val="28"/>
        </w:rPr>
      </w:pPr>
    </w:p>
    <w:p>
      <w:pPr>
        <w:adjustRightInd w:val="0"/>
        <w:snapToGrid w:val="0"/>
        <w:jc w:val="left"/>
        <w:rPr>
          <w:rFonts w:eastAsia="黑体" w:cs="黑体"/>
          <w:sz w:val="32"/>
          <w:szCs w:val="32"/>
        </w:rPr>
      </w:pPr>
      <w:r>
        <w:drawing>
          <wp:anchor distT="0" distB="0" distL="114300" distR="114300" simplePos="0" relativeHeight="251659264" behindDoc="0" locked="0" layoutInCell="1" allowOverlap="1">
            <wp:simplePos x="0" y="0"/>
            <wp:positionH relativeFrom="column">
              <wp:posOffset>222250</wp:posOffset>
            </wp:positionH>
            <wp:positionV relativeFrom="paragraph">
              <wp:posOffset>582930</wp:posOffset>
            </wp:positionV>
            <wp:extent cx="7661910" cy="2995295"/>
            <wp:effectExtent l="0" t="0" r="3810" b="6985"/>
            <wp:wrapNone/>
            <wp:docPr id="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IMG_256"/>
                    <pic:cNvPicPr>
                      <a:picLocks noChangeAspect="1"/>
                    </pic:cNvPicPr>
                  </pic:nvPicPr>
                  <pic:blipFill>
                    <a:blip r:embed="rId6"/>
                    <a:srcRect l="717" t="7222" r="4262" b="5763"/>
                    <a:stretch>
                      <a:fillRect/>
                    </a:stretch>
                  </pic:blipFill>
                  <pic:spPr>
                    <a:xfrm>
                      <a:off x="0" y="0"/>
                      <a:ext cx="7661910" cy="2995295"/>
                    </a:xfrm>
                    <a:prstGeom prst="rect">
                      <a:avLst/>
                    </a:prstGeom>
                    <a:noFill/>
                    <a:ln>
                      <a:noFill/>
                    </a:ln>
                  </pic:spPr>
                </pic:pic>
              </a:graphicData>
            </a:graphic>
          </wp:anchor>
        </w:drawing>
      </w:r>
      <w:r>
        <w:rPr>
          <w:rFonts w:hint="eastAsia" w:eastAsia="黑体" w:cs="黑体"/>
          <w:sz w:val="32"/>
          <w:szCs w:val="32"/>
        </w:rPr>
        <w:t>附件</w:t>
      </w:r>
      <w:r>
        <w:rPr>
          <w:rFonts w:eastAsia="黑体" w:cs="黑体"/>
          <w:sz w:val="32"/>
          <w:szCs w:val="32"/>
        </w:rPr>
        <w:t>3</w:t>
      </w:r>
    </w:p>
    <w:p>
      <w:pPr>
        <w:tabs>
          <w:tab w:val="left" w:pos="8222"/>
        </w:tabs>
        <w:wordWrap w:val="0"/>
        <w:snapToGrid w:val="0"/>
        <w:spacing w:line="560" w:lineRule="exact"/>
        <w:ind w:right="622" w:rightChars="296"/>
        <w:jc w:val="right"/>
        <w:rPr>
          <w:rFonts w:eastAsia="仿宋_GB2312"/>
          <w:color w:val="000000"/>
          <w:sz w:val="28"/>
          <w:szCs w:val="28"/>
        </w:rPr>
        <w:sectPr>
          <w:pgSz w:w="16838" w:h="11906" w:orient="landscape"/>
          <w:pgMar w:top="1588" w:right="2098" w:bottom="1474" w:left="1985" w:header="851" w:footer="992" w:gutter="0"/>
          <w:pgNumType w:fmt="numberInDash"/>
          <w:cols w:space="720" w:num="1"/>
          <w:docGrid w:linePitch="319" w:charSpace="0"/>
        </w:sectPr>
      </w:pPr>
    </w:p>
    <w:p>
      <w:pPr>
        <w:widowControl/>
        <w:spacing w:line="600" w:lineRule="exact"/>
        <w:rPr>
          <w:rFonts w:eastAsia="黑体" w:cs="黑体"/>
          <w:sz w:val="32"/>
          <w:szCs w:val="32"/>
        </w:rPr>
      </w:pPr>
      <w:r>
        <w:rPr>
          <w:rFonts w:hint="eastAsia" w:eastAsia="黑体" w:cs="黑体"/>
          <w:sz w:val="32"/>
          <w:szCs w:val="32"/>
        </w:rPr>
        <w:t>附件</w:t>
      </w:r>
      <w:r>
        <w:rPr>
          <w:rFonts w:eastAsia="黑体" w:cs="黑体"/>
          <w:sz w:val="32"/>
          <w:szCs w:val="32"/>
        </w:rPr>
        <w:t>4</w:t>
      </w:r>
    </w:p>
    <w:p>
      <w:pPr>
        <w:spacing w:line="600" w:lineRule="exact"/>
        <w:jc w:val="center"/>
        <w:rPr>
          <w:rFonts w:ascii="方正小标宋简体" w:eastAsia="方正小标宋简体" w:cs="方正公文小标宋"/>
          <w:sz w:val="36"/>
          <w:szCs w:val="36"/>
        </w:rPr>
      </w:pPr>
      <w:r>
        <w:rPr>
          <w:rFonts w:hint="eastAsia" w:ascii="方正小标宋简体" w:eastAsia="方正小标宋简体" w:cs="方正公文小标宋"/>
          <w:sz w:val="36"/>
          <w:szCs w:val="36"/>
        </w:rPr>
        <w:t>关于住宅小区电动自行车安全专项整治行动法规梳理</w:t>
      </w:r>
    </w:p>
    <w:p>
      <w:pPr>
        <w:spacing w:line="600" w:lineRule="exact"/>
        <w:ind w:firstLine="600" w:firstLineChars="200"/>
        <w:jc w:val="left"/>
        <w:rPr>
          <w:rFonts w:eastAsia="黑体" w:cs="黑体"/>
          <w:sz w:val="30"/>
          <w:szCs w:val="30"/>
        </w:rPr>
      </w:pPr>
    </w:p>
    <w:p>
      <w:pPr>
        <w:spacing w:line="600" w:lineRule="exact"/>
        <w:ind w:firstLine="640" w:firstLineChars="200"/>
        <w:jc w:val="left"/>
        <w:rPr>
          <w:rFonts w:eastAsia="黑体" w:cs="黑体"/>
          <w:sz w:val="32"/>
          <w:szCs w:val="32"/>
        </w:rPr>
      </w:pPr>
      <w:r>
        <w:rPr>
          <w:rFonts w:hint="eastAsia" w:eastAsia="黑体" w:cs="黑体"/>
          <w:sz w:val="32"/>
          <w:szCs w:val="32"/>
        </w:rPr>
        <w:t>一、工作职责依据</w:t>
      </w:r>
    </w:p>
    <w:p>
      <w:pPr>
        <w:spacing w:line="600" w:lineRule="exact"/>
        <w:ind w:firstLine="640" w:firstLineChars="200"/>
        <w:jc w:val="left"/>
        <w:rPr>
          <w:rFonts w:eastAsia="仿宋_GB2312" w:cs="仿宋_GB2312"/>
          <w:sz w:val="32"/>
          <w:szCs w:val="32"/>
        </w:rPr>
      </w:pPr>
      <w:r>
        <w:rPr>
          <w:rFonts w:hint="eastAsia" w:eastAsia="仿宋_GB2312" w:cs="仿宋_GB2312"/>
          <w:sz w:val="32"/>
          <w:szCs w:val="32"/>
        </w:rPr>
        <w:t>根据《上海市浦东新区推进住宅小区治理创新若干规定》第十五条的规定，浦东新区</w:t>
      </w:r>
      <w:r>
        <w:rPr>
          <w:rFonts w:hint="eastAsia" w:eastAsia="仿宋_GB2312" w:cs="仿宋_GB2312"/>
          <w:b/>
          <w:bCs/>
          <w:sz w:val="32"/>
          <w:szCs w:val="32"/>
        </w:rPr>
        <w:t>街道办事处</w:t>
      </w:r>
      <w:r>
        <w:rPr>
          <w:rFonts w:hint="eastAsia" w:eastAsia="仿宋_GB2312" w:cs="仿宋_GB2312"/>
          <w:sz w:val="32"/>
          <w:szCs w:val="32"/>
        </w:rPr>
        <w:t>、</w:t>
      </w:r>
      <w:r>
        <w:rPr>
          <w:rFonts w:hint="eastAsia" w:eastAsia="仿宋_GB2312" w:cs="仿宋_GB2312"/>
          <w:b/>
          <w:bCs/>
          <w:sz w:val="32"/>
          <w:szCs w:val="32"/>
        </w:rPr>
        <w:t>镇人民政府</w:t>
      </w:r>
      <w:r>
        <w:rPr>
          <w:rFonts w:hint="eastAsia" w:eastAsia="仿宋_GB2312" w:cs="仿宋_GB2312"/>
          <w:sz w:val="32"/>
          <w:szCs w:val="32"/>
        </w:rPr>
        <w:t>、</w:t>
      </w:r>
      <w:r>
        <w:rPr>
          <w:rFonts w:hint="eastAsia" w:eastAsia="仿宋_GB2312" w:cs="仿宋_GB2312"/>
          <w:b/>
          <w:bCs/>
          <w:sz w:val="32"/>
          <w:szCs w:val="32"/>
        </w:rPr>
        <w:t>居民委员会</w:t>
      </w:r>
      <w:r>
        <w:rPr>
          <w:rFonts w:hint="eastAsia" w:eastAsia="仿宋_GB2312" w:cs="仿宋_GB2312"/>
          <w:sz w:val="32"/>
          <w:szCs w:val="32"/>
        </w:rPr>
        <w:t>应当建立住宅小区安全隐患排查机制，定期排查老旧房屋、楼道堆物、高空坠物、非机动车违规充电、违规群租等安全隐患。</w:t>
      </w:r>
    </w:p>
    <w:p>
      <w:pPr>
        <w:spacing w:line="600" w:lineRule="exact"/>
        <w:ind w:firstLine="640" w:firstLineChars="200"/>
        <w:jc w:val="left"/>
        <w:rPr>
          <w:rFonts w:eastAsia="仿宋_GB2312" w:cs="仿宋_GB2312"/>
          <w:sz w:val="32"/>
          <w:szCs w:val="32"/>
        </w:rPr>
      </w:pPr>
      <w:r>
        <w:rPr>
          <w:rFonts w:hint="eastAsia" w:eastAsia="仿宋_GB2312" w:cs="仿宋_GB2312"/>
          <w:sz w:val="32"/>
          <w:szCs w:val="32"/>
        </w:rPr>
        <w:t>根据《上海市非机动车安全管理条例》第二十九条第三、四款的规定，鼓励业主大会或者业主委员会通过制定住宅小区管理规约等，引导业主使用集中充电设施为电动自行车充电。对违反用电安全要求私拉电线和插座为电动自行车充电，以及在禁止区域停放电动自行车或充电行为的，</w:t>
      </w:r>
      <w:r>
        <w:rPr>
          <w:rFonts w:hint="eastAsia" w:eastAsia="仿宋_GB2312" w:cs="仿宋_GB2312"/>
          <w:b/>
          <w:bCs/>
          <w:sz w:val="32"/>
          <w:szCs w:val="32"/>
        </w:rPr>
        <w:t>非机动车停放设施管理者</w:t>
      </w:r>
      <w:r>
        <w:rPr>
          <w:rFonts w:hint="eastAsia" w:eastAsia="仿宋_GB2312" w:cs="仿宋_GB2312"/>
          <w:sz w:val="32"/>
          <w:szCs w:val="32"/>
        </w:rPr>
        <w:t>和</w:t>
      </w:r>
      <w:r>
        <w:rPr>
          <w:rFonts w:hint="eastAsia" w:eastAsia="仿宋_GB2312" w:cs="仿宋_GB2312"/>
          <w:b/>
          <w:bCs/>
          <w:sz w:val="32"/>
          <w:szCs w:val="32"/>
        </w:rPr>
        <w:t>物业服务企业</w:t>
      </w:r>
      <w:r>
        <w:rPr>
          <w:rFonts w:hint="eastAsia" w:eastAsia="仿宋_GB2312" w:cs="仿宋_GB2312"/>
          <w:sz w:val="32"/>
          <w:szCs w:val="32"/>
        </w:rPr>
        <w:t>、</w:t>
      </w:r>
      <w:r>
        <w:rPr>
          <w:rFonts w:hint="eastAsia" w:eastAsia="仿宋_GB2312" w:cs="仿宋_GB2312"/>
          <w:b/>
          <w:bCs/>
          <w:sz w:val="32"/>
          <w:szCs w:val="32"/>
        </w:rPr>
        <w:t>业主自行管理机构</w:t>
      </w:r>
      <w:r>
        <w:rPr>
          <w:rFonts w:hint="eastAsia" w:eastAsia="仿宋_GB2312" w:cs="仿宋_GB2312"/>
          <w:sz w:val="32"/>
          <w:szCs w:val="32"/>
        </w:rPr>
        <w:t>等应当予以劝阻、制止；对不听劝阻、制止的，应当向</w:t>
      </w:r>
      <w:r>
        <w:rPr>
          <w:rFonts w:hint="eastAsia" w:eastAsia="仿宋_GB2312" w:cs="仿宋_GB2312"/>
          <w:b/>
          <w:bCs/>
          <w:sz w:val="32"/>
          <w:szCs w:val="32"/>
        </w:rPr>
        <w:t>城管执法部门</w:t>
      </w:r>
      <w:r>
        <w:rPr>
          <w:rFonts w:hint="eastAsia" w:eastAsia="仿宋_GB2312" w:cs="仿宋_GB2312"/>
          <w:sz w:val="32"/>
          <w:szCs w:val="32"/>
        </w:rPr>
        <w:t>或者</w:t>
      </w:r>
      <w:r>
        <w:rPr>
          <w:rFonts w:hint="eastAsia" w:eastAsia="仿宋_GB2312" w:cs="仿宋_GB2312"/>
          <w:b/>
          <w:bCs/>
          <w:sz w:val="32"/>
          <w:szCs w:val="32"/>
        </w:rPr>
        <w:t>负有消防监督管理职责</w:t>
      </w:r>
      <w:r>
        <w:rPr>
          <w:rFonts w:hint="eastAsia" w:eastAsia="仿宋_GB2312" w:cs="仿宋_GB2312"/>
          <w:sz w:val="32"/>
          <w:szCs w:val="32"/>
        </w:rPr>
        <w:t>的部门报告。城管执法部门或者负有消防监督管理职责的部门应当依法予以处理。</w:t>
      </w:r>
    </w:p>
    <w:p>
      <w:pPr>
        <w:spacing w:line="600" w:lineRule="exact"/>
        <w:ind w:firstLine="640" w:firstLineChars="200"/>
        <w:jc w:val="left"/>
        <w:rPr>
          <w:rFonts w:eastAsia="黑体" w:cs="黑体"/>
          <w:sz w:val="32"/>
          <w:szCs w:val="32"/>
        </w:rPr>
      </w:pPr>
      <w:r>
        <w:rPr>
          <w:rFonts w:hint="eastAsia" w:eastAsia="黑体" w:cs="黑体"/>
          <w:sz w:val="32"/>
          <w:szCs w:val="32"/>
        </w:rPr>
        <w:t>二、相关违法行为查处依据</w:t>
      </w:r>
    </w:p>
    <w:p>
      <w:pPr>
        <w:spacing w:line="600" w:lineRule="exact"/>
        <w:ind w:firstLine="640" w:firstLineChars="200"/>
        <w:jc w:val="left"/>
        <w:rPr>
          <w:rFonts w:eastAsia="楷体_GB2312" w:cs="楷体_GB2312"/>
          <w:sz w:val="32"/>
          <w:szCs w:val="32"/>
        </w:rPr>
      </w:pPr>
      <w:r>
        <w:rPr>
          <w:rFonts w:hint="eastAsia" w:eastAsia="楷体_GB2312" w:cs="楷体_GB2312"/>
          <w:sz w:val="32"/>
          <w:szCs w:val="32"/>
        </w:rPr>
        <w:t>（一）城管执法部门</w:t>
      </w:r>
    </w:p>
    <w:p>
      <w:pPr>
        <w:spacing w:line="600" w:lineRule="exact"/>
        <w:ind w:firstLine="640" w:firstLineChars="200"/>
        <w:jc w:val="left"/>
        <w:rPr>
          <w:rFonts w:eastAsia="仿宋_GB2312" w:cs="仿宋_GB2312"/>
          <w:sz w:val="32"/>
          <w:szCs w:val="32"/>
        </w:rPr>
      </w:pPr>
      <w:r>
        <w:rPr>
          <w:rFonts w:hint="eastAsia" w:eastAsia="仿宋_GB2312" w:cs="仿宋_GB2312"/>
          <w:sz w:val="32"/>
          <w:szCs w:val="32"/>
        </w:rPr>
        <w:t>在处置物业管理区域内电动自行车“违法停放”和“飞线充电”问题中，可对涉及“擅自占用物业公用部分”的行为，依据《上海市住宅物业管理规定》第五十六条第二款第四项、第八十五条的予以查处，应当责令当事人改正并恢复原状，根据当事人的改正情况和从轻或从重情节作出相应幅度的罚款处罚。</w:t>
      </w:r>
    </w:p>
    <w:p>
      <w:pPr>
        <w:spacing w:line="600" w:lineRule="exact"/>
        <w:ind w:firstLine="640" w:firstLineChars="200"/>
        <w:jc w:val="left"/>
        <w:rPr>
          <w:rFonts w:eastAsia="仿宋_GB2312" w:cs="仿宋_GB2312"/>
          <w:sz w:val="32"/>
          <w:szCs w:val="32"/>
        </w:rPr>
      </w:pPr>
      <w:r>
        <w:rPr>
          <w:rFonts w:hint="eastAsia" w:eastAsia="仿宋_GB2312" w:cs="仿宋_GB2312"/>
          <w:sz w:val="32"/>
          <w:szCs w:val="32"/>
        </w:rPr>
        <w:t>针对沿街商铺存在“违法停放”和“飞线充电”情况的，可对涉及“责任人未履行责任要求”中“乱停非机动车”的行为，依据《上海市市容环境卫生管理条例》第六十条第一款、第三款予以查处，其中对“主动整改或在责令改正期限内改正的，违法行为发生在主要道路、居住区、景观区域以外区域，且首次被发现的”情形，可依法不予处罚；对涉及“占用盲道”的行为，依据《中华人民共和国无障碍环境建设法》第二十八条第一款、第六十五条第三项予以查处。</w:t>
      </w:r>
    </w:p>
    <w:p>
      <w:pPr>
        <w:spacing w:line="600" w:lineRule="exact"/>
        <w:rPr>
          <w:rFonts w:eastAsia="仿宋_GB2312" w:cs="仿宋_GB2312"/>
          <w:sz w:val="30"/>
          <w:szCs w:val="30"/>
        </w:rPr>
      </w:pPr>
      <w:r>
        <w:rPr>
          <w:rFonts w:eastAsia="仿宋_GB2312" w:cs="仿宋_GB2312"/>
          <w:sz w:val="30"/>
          <w:szCs w:val="30"/>
        </w:rPr>
        <w:t xml:space="preserve"> </w:t>
      </w:r>
    </w:p>
    <w:p>
      <w:pPr>
        <w:spacing w:line="600" w:lineRule="exact"/>
        <w:rPr>
          <w:rFonts w:eastAsia="仿宋_GB2312" w:cs="仿宋_GB2312"/>
          <w:sz w:val="30"/>
          <w:szCs w:val="30"/>
        </w:rPr>
      </w:pPr>
    </w:p>
    <w:p>
      <w:pPr>
        <w:spacing w:line="600" w:lineRule="exact"/>
        <w:rPr>
          <w:rFonts w:eastAsia="仿宋_GB2312" w:cs="仿宋_GB2312"/>
          <w:sz w:val="30"/>
          <w:szCs w:val="30"/>
        </w:rPr>
      </w:pPr>
    </w:p>
    <w:p>
      <w:pPr>
        <w:spacing w:line="600" w:lineRule="exact"/>
        <w:rPr>
          <w:rFonts w:eastAsia="仿宋_GB2312" w:cs="仿宋_GB2312"/>
          <w:sz w:val="30"/>
          <w:szCs w:val="30"/>
        </w:rPr>
      </w:pPr>
    </w:p>
    <w:p>
      <w:pPr>
        <w:spacing w:line="600" w:lineRule="exact"/>
        <w:rPr>
          <w:rFonts w:eastAsia="仿宋_GB2312" w:cs="仿宋_GB2312"/>
          <w:sz w:val="30"/>
          <w:szCs w:val="30"/>
        </w:rPr>
      </w:pPr>
    </w:p>
    <w:p>
      <w:pPr>
        <w:spacing w:line="600" w:lineRule="exact"/>
        <w:rPr>
          <w:rFonts w:eastAsia="仿宋_GB2312" w:cs="仿宋_GB2312"/>
          <w:sz w:val="30"/>
          <w:szCs w:val="30"/>
        </w:rPr>
      </w:pPr>
    </w:p>
    <w:p>
      <w:pPr>
        <w:spacing w:line="600" w:lineRule="exact"/>
        <w:rPr>
          <w:rFonts w:eastAsia="仿宋_GB2312" w:cs="仿宋_GB2312"/>
          <w:sz w:val="30"/>
          <w:szCs w:val="30"/>
        </w:rPr>
      </w:pPr>
    </w:p>
    <w:p>
      <w:pPr>
        <w:spacing w:line="480" w:lineRule="exact"/>
        <w:jc w:val="left"/>
        <w:rPr>
          <w:rFonts w:eastAsia="仿宋_GB2312" w:cs="仿宋_GB2312"/>
          <w:sz w:val="30"/>
          <w:szCs w:val="30"/>
        </w:rPr>
      </w:pPr>
    </w:p>
    <w:p>
      <w:pPr>
        <w:spacing w:line="480" w:lineRule="exact"/>
        <w:jc w:val="left"/>
        <w:rPr>
          <w:rFonts w:eastAsia="仿宋_GB2312" w:cs="仿宋_GB2312"/>
          <w:sz w:val="30"/>
          <w:szCs w:val="30"/>
        </w:rPr>
      </w:pPr>
    </w:p>
    <w:p>
      <w:pPr>
        <w:spacing w:line="480" w:lineRule="exact"/>
        <w:jc w:val="left"/>
        <w:rPr>
          <w:rFonts w:eastAsia="仿宋_GB2312" w:cs="仿宋_GB2312"/>
          <w:sz w:val="30"/>
          <w:szCs w:val="30"/>
        </w:rPr>
      </w:pPr>
    </w:p>
    <w:p>
      <w:pPr>
        <w:spacing w:line="480" w:lineRule="exact"/>
        <w:jc w:val="left"/>
        <w:rPr>
          <w:rFonts w:eastAsia="仿宋_GB2312" w:cs="仿宋_GB2312"/>
          <w:sz w:val="30"/>
          <w:szCs w:val="30"/>
        </w:rPr>
      </w:pPr>
    </w:p>
    <w:p>
      <w:pPr>
        <w:spacing w:line="480" w:lineRule="exact"/>
        <w:jc w:val="left"/>
        <w:rPr>
          <w:rFonts w:eastAsia="仿宋_GB2312" w:cs="仿宋_GB2312"/>
          <w:sz w:val="30"/>
          <w:szCs w:val="30"/>
        </w:rPr>
      </w:pPr>
      <w:r>
        <w:rPr>
          <w:rFonts w:hint="eastAsia" w:eastAsia="仿宋_GB2312" w:cs="仿宋_GB2312"/>
          <w:sz w:val="30"/>
          <w:szCs w:val="30"/>
        </w:rPr>
        <w:t>附：</w:t>
      </w:r>
    </w:p>
    <w:p>
      <w:pPr>
        <w:spacing w:line="480" w:lineRule="exact"/>
        <w:ind w:firstLine="560" w:firstLineChars="200"/>
        <w:jc w:val="left"/>
        <w:rPr>
          <w:rFonts w:eastAsia="黑体" w:cs="黑体"/>
          <w:sz w:val="28"/>
          <w:szCs w:val="28"/>
        </w:rPr>
      </w:pPr>
      <w:r>
        <w:rPr>
          <w:rFonts w:hint="eastAsia" w:eastAsia="黑体" w:cs="黑体"/>
          <w:sz w:val="28"/>
          <w:szCs w:val="28"/>
        </w:rPr>
        <w:t>一、名词说明</w:t>
      </w:r>
    </w:p>
    <w:p>
      <w:pPr>
        <w:spacing w:line="480" w:lineRule="exact"/>
        <w:ind w:firstLine="562" w:firstLineChars="200"/>
        <w:jc w:val="left"/>
        <w:rPr>
          <w:rFonts w:eastAsia="楷体_GB2312" w:cs="楷体_GB2312"/>
          <w:sz w:val="28"/>
          <w:szCs w:val="28"/>
        </w:rPr>
      </w:pPr>
      <w:r>
        <w:rPr>
          <w:rFonts w:hint="eastAsia" w:eastAsia="楷体_GB2312" w:cs="楷体_GB2312"/>
          <w:b/>
          <w:bCs/>
          <w:sz w:val="28"/>
          <w:szCs w:val="28"/>
        </w:rPr>
        <w:t>违法停放</w:t>
      </w:r>
      <w:r>
        <w:rPr>
          <w:rFonts w:hint="eastAsia" w:eastAsia="楷体_GB2312" w:cs="楷体_GB2312"/>
          <w:sz w:val="28"/>
          <w:szCs w:val="28"/>
        </w:rPr>
        <w:t>是使用人未在住宅小区内部的电动自行车集中停放区域停放电动自行车，或者使用人在住宅小区内的疏散通道、安全出口、消防车通道及其两侧影响通行的区域停放电动自行车的行为。</w:t>
      </w:r>
    </w:p>
    <w:p>
      <w:pPr>
        <w:spacing w:line="480" w:lineRule="exact"/>
        <w:ind w:firstLine="562" w:firstLineChars="200"/>
        <w:jc w:val="left"/>
        <w:rPr>
          <w:rFonts w:eastAsia="楷体_GB2312" w:cs="楷体_GB2312"/>
          <w:sz w:val="28"/>
          <w:szCs w:val="28"/>
        </w:rPr>
      </w:pPr>
      <w:r>
        <w:rPr>
          <w:rFonts w:hint="eastAsia" w:eastAsia="楷体_GB2312" w:cs="楷体_GB2312"/>
          <w:b/>
          <w:bCs/>
          <w:sz w:val="28"/>
          <w:szCs w:val="28"/>
        </w:rPr>
        <w:t>飞线充电</w:t>
      </w:r>
      <w:r>
        <w:rPr>
          <w:rFonts w:hint="eastAsia" w:eastAsia="楷体_GB2312" w:cs="楷体_GB2312"/>
          <w:sz w:val="28"/>
          <w:szCs w:val="28"/>
        </w:rPr>
        <w:t>是使用人违反用电安全要求私拉电线和插座，在“建筑物首层门厅、共用走廊、楼梯间、楼道等共用部位”为电动自行车充电的行为。</w:t>
      </w:r>
    </w:p>
    <w:p>
      <w:pPr>
        <w:spacing w:line="480" w:lineRule="exact"/>
        <w:ind w:firstLine="562" w:firstLineChars="200"/>
        <w:jc w:val="left"/>
        <w:rPr>
          <w:rFonts w:eastAsia="楷体_GB2312" w:cs="楷体_GB2312"/>
          <w:sz w:val="28"/>
          <w:szCs w:val="28"/>
        </w:rPr>
      </w:pPr>
      <w:r>
        <w:rPr>
          <w:rFonts w:hint="eastAsia" w:eastAsia="楷体_GB2312" w:cs="楷体_GB2312"/>
          <w:b/>
          <w:bCs/>
          <w:sz w:val="28"/>
          <w:szCs w:val="28"/>
        </w:rPr>
        <w:t>物业公用部分</w:t>
      </w:r>
      <w:r>
        <w:rPr>
          <w:rFonts w:hint="eastAsia" w:eastAsia="楷体_GB2312" w:cs="楷体_GB2312"/>
          <w:sz w:val="28"/>
          <w:szCs w:val="28"/>
        </w:rPr>
        <w:t>包括楼栋内的门厅、公共走道、楼梯间、楼道等部位，也包括楼栋外的小区绿地、道路等公用部分。</w:t>
      </w:r>
    </w:p>
    <w:p>
      <w:pPr>
        <w:spacing w:line="480" w:lineRule="exact"/>
        <w:ind w:firstLine="560" w:firstLineChars="200"/>
        <w:jc w:val="left"/>
        <w:rPr>
          <w:rFonts w:eastAsia="黑体" w:cs="黑体"/>
          <w:sz w:val="28"/>
          <w:szCs w:val="28"/>
        </w:rPr>
      </w:pPr>
      <w:r>
        <w:rPr>
          <w:rFonts w:hint="eastAsia" w:eastAsia="黑体" w:cs="黑体"/>
          <w:sz w:val="28"/>
          <w:szCs w:val="28"/>
        </w:rPr>
        <w:t>二、相关法律法规规定</w:t>
      </w:r>
    </w:p>
    <w:p>
      <w:pPr>
        <w:spacing w:line="480" w:lineRule="exact"/>
        <w:ind w:firstLine="562" w:firstLineChars="200"/>
        <w:jc w:val="left"/>
        <w:rPr>
          <w:rFonts w:eastAsia="楷体_GB2312" w:cs="楷体_GB2312"/>
          <w:sz w:val="28"/>
          <w:szCs w:val="28"/>
        </w:rPr>
      </w:pPr>
      <w:r>
        <w:rPr>
          <w:rFonts w:hint="eastAsia" w:eastAsia="楷体_GB2312" w:cs="楷体_GB2312"/>
          <w:b/>
          <w:bCs/>
          <w:sz w:val="28"/>
          <w:szCs w:val="28"/>
        </w:rPr>
        <w:t>《上海市浦东新区推进住宅小区治理创新若干规定》</w:t>
      </w:r>
      <w:r>
        <w:rPr>
          <w:rFonts w:hint="eastAsia" w:eastAsia="楷体_GB2312" w:cs="楷体_GB2312"/>
          <w:sz w:val="28"/>
          <w:szCs w:val="28"/>
        </w:rPr>
        <w:t>第十五条</w:t>
      </w:r>
      <w:r>
        <w:rPr>
          <w:rFonts w:eastAsia="楷体_GB2312" w:cs="楷体_GB2312"/>
          <w:sz w:val="28"/>
          <w:szCs w:val="28"/>
        </w:rPr>
        <w:t xml:space="preserve"> </w:t>
      </w:r>
      <w:r>
        <w:rPr>
          <w:rFonts w:hint="eastAsia" w:eastAsia="楷体_GB2312" w:cs="楷体_GB2312"/>
          <w:sz w:val="28"/>
          <w:szCs w:val="28"/>
        </w:rPr>
        <w:t>浦东新区街道办事处、镇人民政府、居民委员会应当建立住宅小区安全隐患排查机制，定期排查老旧房屋、楼道堆物、高空坠物、非机动车违规充电、违规群租等安全隐患。</w:t>
      </w:r>
    </w:p>
    <w:p>
      <w:pPr>
        <w:spacing w:line="480" w:lineRule="exact"/>
        <w:ind w:firstLine="560" w:firstLineChars="200"/>
        <w:jc w:val="left"/>
        <w:rPr>
          <w:rFonts w:eastAsia="楷体_GB2312" w:cs="楷体_GB2312"/>
          <w:sz w:val="28"/>
          <w:szCs w:val="28"/>
        </w:rPr>
      </w:pPr>
      <w:r>
        <w:rPr>
          <w:rFonts w:hint="eastAsia" w:eastAsia="楷体_GB2312" w:cs="楷体_GB2312"/>
          <w:sz w:val="28"/>
          <w:szCs w:val="28"/>
        </w:rPr>
        <w:t>浦东新区街道办事处、镇人民政府应当会同区人民政府相关部门建立住宅小区安全隐患联动整治机制，发现安全隐患的，应当及时督促整改，拒不整改或者整改不符合规定的，及时启动执法程序，必要时通过联合执法等方式开展整治。</w:t>
      </w:r>
      <w:r>
        <w:rPr>
          <w:rFonts w:eastAsia="楷体_GB2312" w:cs="楷体_GB2312"/>
          <w:sz w:val="28"/>
          <w:szCs w:val="28"/>
        </w:rPr>
        <w:t xml:space="preserve"> </w:t>
      </w:r>
    </w:p>
    <w:p>
      <w:pPr>
        <w:spacing w:line="480" w:lineRule="exact"/>
        <w:ind w:firstLine="562" w:firstLineChars="200"/>
        <w:jc w:val="left"/>
        <w:rPr>
          <w:rFonts w:eastAsia="楷体_GB2312" w:cs="楷体_GB2312"/>
          <w:sz w:val="28"/>
          <w:szCs w:val="28"/>
        </w:rPr>
      </w:pPr>
      <w:r>
        <w:rPr>
          <w:rFonts w:hint="eastAsia" w:eastAsia="楷体_GB2312" w:cs="楷体_GB2312"/>
          <w:b/>
          <w:bCs/>
          <w:sz w:val="28"/>
          <w:szCs w:val="28"/>
        </w:rPr>
        <w:t>《上海市非机动车安全管理条例》</w:t>
      </w:r>
      <w:r>
        <w:rPr>
          <w:rFonts w:hint="eastAsia" w:eastAsia="楷体_GB2312" w:cs="楷体_GB2312"/>
          <w:sz w:val="28"/>
          <w:szCs w:val="28"/>
        </w:rPr>
        <w:t>第二十九条</w:t>
      </w:r>
      <w:r>
        <w:rPr>
          <w:rFonts w:eastAsia="楷体_GB2312" w:cs="楷体_GB2312"/>
          <w:sz w:val="28"/>
          <w:szCs w:val="28"/>
        </w:rPr>
        <w:t xml:space="preserve"> </w:t>
      </w:r>
      <w:r>
        <w:rPr>
          <w:rFonts w:hint="eastAsia" w:eastAsia="楷体_GB2312" w:cs="楷体_GB2312"/>
          <w:sz w:val="28"/>
          <w:szCs w:val="28"/>
        </w:rPr>
        <w:t>电动自行车充电时应当确保安全，不得违反用电安全要求私拉电线和插座为电动自行车充电。</w:t>
      </w:r>
    </w:p>
    <w:p>
      <w:pPr>
        <w:spacing w:line="480" w:lineRule="exact"/>
        <w:ind w:firstLine="560" w:firstLineChars="200"/>
        <w:jc w:val="left"/>
        <w:rPr>
          <w:rFonts w:eastAsia="楷体_GB2312" w:cs="楷体_GB2312"/>
          <w:sz w:val="28"/>
          <w:szCs w:val="28"/>
        </w:rPr>
      </w:pPr>
      <w:r>
        <w:rPr>
          <w:rFonts w:hint="eastAsia" w:eastAsia="楷体_GB2312" w:cs="楷体_GB2312"/>
          <w:sz w:val="28"/>
          <w:szCs w:val="28"/>
        </w:rPr>
        <w:t>禁止电动自行车在建筑物首层门厅、共用走道、楼梯间、楼道等共用部位，以及疏散通道、安全出口、消防车通道及其两侧影响通行的区域、人员密集场所的室内区域停放、充电。</w:t>
      </w:r>
    </w:p>
    <w:p>
      <w:pPr>
        <w:spacing w:line="480" w:lineRule="exact"/>
        <w:ind w:firstLine="560" w:firstLineChars="200"/>
        <w:jc w:val="left"/>
        <w:rPr>
          <w:rFonts w:eastAsia="楷体_GB2312" w:cs="楷体_GB2312"/>
          <w:sz w:val="28"/>
          <w:szCs w:val="28"/>
        </w:rPr>
      </w:pPr>
      <w:r>
        <w:rPr>
          <w:rFonts w:hint="eastAsia" w:eastAsia="楷体_GB2312" w:cs="楷体_GB2312"/>
          <w:sz w:val="28"/>
          <w:szCs w:val="28"/>
        </w:rPr>
        <w:t>鼓励业主大会或者业主委员会通过制定住宅小区管理规约等，引导业主使用集中充电设施为电动自行车充电。</w:t>
      </w:r>
    </w:p>
    <w:p>
      <w:pPr>
        <w:spacing w:line="480" w:lineRule="exact"/>
        <w:ind w:firstLine="560" w:firstLineChars="200"/>
        <w:jc w:val="left"/>
        <w:rPr>
          <w:rFonts w:eastAsia="楷体_GB2312" w:cs="楷体_GB2312"/>
          <w:sz w:val="28"/>
          <w:szCs w:val="28"/>
        </w:rPr>
      </w:pPr>
      <w:r>
        <w:rPr>
          <w:rFonts w:hint="eastAsia" w:eastAsia="楷体_GB2312" w:cs="楷体_GB2312"/>
          <w:sz w:val="28"/>
          <w:szCs w:val="28"/>
        </w:rPr>
        <w:t>对违反第一款、第二款规定的行为，非机动车停放设施管理者和物业服务企业、业主自行管理机构等应当予以劝阻、制止；对不听劝阻、制止的，应当向城管执法部门或者负有消防监督管理职责的部门报告。城管执法部门或者负有消防监督管理职责的部门应当依法予以处理。</w:t>
      </w:r>
    </w:p>
    <w:p>
      <w:pPr>
        <w:spacing w:line="480" w:lineRule="exact"/>
        <w:ind w:firstLine="560" w:firstLineChars="200"/>
        <w:jc w:val="left"/>
        <w:rPr>
          <w:rFonts w:eastAsia="楷体_GB2312" w:cs="楷体_GB2312"/>
          <w:sz w:val="28"/>
          <w:szCs w:val="28"/>
        </w:rPr>
      </w:pPr>
      <w:r>
        <w:rPr>
          <w:rFonts w:hint="eastAsia" w:eastAsia="楷体_GB2312" w:cs="楷体_GB2312"/>
          <w:sz w:val="28"/>
          <w:szCs w:val="28"/>
        </w:rPr>
        <w:t>在住宅小区内，电动自行车报警装置以鸣响方式报警后，其所有人或者使用人应当及时处理，避免长时间鸣响干扰他人正常生活。</w:t>
      </w:r>
    </w:p>
    <w:p>
      <w:pPr>
        <w:spacing w:line="480" w:lineRule="exact"/>
        <w:ind w:firstLine="562" w:firstLineChars="200"/>
        <w:jc w:val="left"/>
        <w:rPr>
          <w:rFonts w:eastAsia="楷体_GB2312" w:cs="楷体_GB2312"/>
          <w:sz w:val="28"/>
          <w:szCs w:val="28"/>
        </w:rPr>
      </w:pPr>
      <w:r>
        <w:rPr>
          <w:rFonts w:hint="eastAsia" w:eastAsia="楷体_GB2312" w:cs="楷体_GB2312"/>
          <w:b/>
          <w:bCs/>
          <w:sz w:val="28"/>
          <w:szCs w:val="28"/>
        </w:rPr>
        <w:t>《上海市住宅物业管理规定》</w:t>
      </w:r>
      <w:r>
        <w:rPr>
          <w:rFonts w:hint="eastAsia" w:eastAsia="楷体_GB2312" w:cs="楷体_GB2312"/>
          <w:sz w:val="28"/>
          <w:szCs w:val="28"/>
        </w:rPr>
        <w:t>第五十六条第二款第四项</w:t>
      </w:r>
      <w:r>
        <w:rPr>
          <w:rFonts w:eastAsia="楷体_GB2312" w:cs="楷体_GB2312"/>
          <w:sz w:val="28"/>
          <w:szCs w:val="28"/>
        </w:rPr>
        <w:t xml:space="preserve"> </w:t>
      </w:r>
      <w:r>
        <w:rPr>
          <w:rFonts w:hint="eastAsia" w:eastAsia="楷体_GB2312" w:cs="楷体_GB2312"/>
          <w:sz w:val="28"/>
          <w:szCs w:val="28"/>
        </w:rPr>
        <w:t>禁止下列损害公共利益及他人利益的行为：（四）擅自改建、占用物业共用部分；</w:t>
      </w:r>
    </w:p>
    <w:p>
      <w:pPr>
        <w:spacing w:line="480" w:lineRule="exact"/>
        <w:ind w:firstLine="560" w:firstLineChars="200"/>
        <w:jc w:val="left"/>
        <w:rPr>
          <w:rFonts w:eastAsia="楷体_GB2312" w:cs="楷体_GB2312"/>
          <w:sz w:val="28"/>
          <w:szCs w:val="28"/>
        </w:rPr>
      </w:pPr>
      <w:r>
        <w:rPr>
          <w:rFonts w:hint="eastAsia" w:eastAsia="楷体_GB2312" w:cs="楷体_GB2312"/>
          <w:sz w:val="28"/>
          <w:szCs w:val="28"/>
        </w:rPr>
        <w:t>第八十五条</w:t>
      </w:r>
      <w:r>
        <w:rPr>
          <w:rFonts w:eastAsia="楷体_GB2312" w:cs="楷体_GB2312"/>
          <w:sz w:val="28"/>
          <w:szCs w:val="28"/>
        </w:rPr>
        <w:t xml:space="preserve"> </w:t>
      </w:r>
      <w:r>
        <w:rPr>
          <w:rFonts w:hint="eastAsia" w:eastAsia="楷体_GB2312" w:cs="楷体_GB2312"/>
          <w:sz w:val="28"/>
          <w:szCs w:val="28"/>
        </w:rPr>
        <w:t>违反本规定第五十六条第二款第三项、第四项、第五项规定，破坏房屋外貌，擅自改建、占用物业共用部分，损坏或者擅自占用、移装共用设施设备的，由区房屋行政管理部门责令改正，恢复原状，可处一千元以上一万元以下的罚款；情节严重的，可处一万元以上十万元以下的罚款。</w:t>
      </w:r>
    </w:p>
    <w:p>
      <w:pPr>
        <w:rPr>
          <w:rFonts w:eastAsia="楷体_GB2312" w:cs="楷体_GB2312"/>
          <w:b/>
          <w:bCs/>
          <w:sz w:val="28"/>
          <w:szCs w:val="28"/>
        </w:rPr>
      </w:pPr>
      <w:r>
        <w:rPr>
          <w:rFonts w:hint="eastAsia" w:eastAsia="楷体_GB2312" w:cs="楷体_GB2312"/>
          <w:sz w:val="28"/>
          <w:szCs w:val="28"/>
        </w:rPr>
        <w:t>适用裁量基准：</w:t>
      </w:r>
      <w:r>
        <w:rPr>
          <w:rFonts w:hint="eastAsia" w:eastAsia="楷体_GB2312" w:cs="楷体_GB2312"/>
          <w:b/>
          <w:bCs/>
          <w:sz w:val="28"/>
          <w:szCs w:val="28"/>
        </w:rPr>
        <w:t>《上海市城市管理行政执法行政处罚裁量基准（五）》</w:t>
      </w:r>
    </w:p>
    <w:tbl>
      <w:tblPr>
        <w:tblStyle w:val="3"/>
        <w:tblpPr w:leftFromText="180" w:rightFromText="180" w:vertAnchor="text" w:horzAnchor="page" w:tblpX="1811" w:tblpY="1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2569"/>
        <w:gridCol w:w="2094"/>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6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楷体_GB2312" w:cs="楷体_GB2312"/>
                <w:color w:val="000000"/>
                <w:kern w:val="0"/>
                <w:sz w:val="24"/>
                <w:szCs w:val="24"/>
              </w:rPr>
            </w:pPr>
            <w:r>
              <w:rPr>
                <w:rFonts w:hint="eastAsia" w:eastAsia="楷体_GB2312" w:cs="楷体_GB2312"/>
                <w:b/>
                <w:bCs/>
                <w:color w:val="000000"/>
                <w:kern w:val="0"/>
                <w:sz w:val="24"/>
                <w:szCs w:val="24"/>
              </w:rPr>
              <w:t>处罚事项</w:t>
            </w:r>
          </w:p>
        </w:tc>
        <w:tc>
          <w:tcPr>
            <w:tcW w:w="25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楷体_GB2312" w:cs="楷体_GB2312"/>
                <w:color w:val="000000"/>
                <w:kern w:val="0"/>
                <w:sz w:val="24"/>
                <w:szCs w:val="24"/>
              </w:rPr>
            </w:pPr>
            <w:r>
              <w:rPr>
                <w:rFonts w:hint="eastAsia" w:eastAsia="楷体_GB2312" w:cs="楷体_GB2312"/>
                <w:b/>
                <w:bCs/>
                <w:color w:val="000000"/>
                <w:kern w:val="0"/>
                <w:sz w:val="24"/>
                <w:szCs w:val="24"/>
              </w:rPr>
              <w:t>处罚依据</w:t>
            </w:r>
          </w:p>
        </w:tc>
        <w:tc>
          <w:tcPr>
            <w:tcW w:w="41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楷体_GB2312" w:cs="楷体_GB2312"/>
                <w:color w:val="000000"/>
                <w:kern w:val="0"/>
                <w:sz w:val="24"/>
                <w:szCs w:val="24"/>
              </w:rPr>
            </w:pPr>
            <w:r>
              <w:rPr>
                <w:rFonts w:hint="eastAsia" w:eastAsia="楷体_GB2312" w:cs="楷体_GB2312"/>
                <w:b/>
                <w:bCs/>
                <w:color w:val="000000"/>
                <w:kern w:val="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cs="楷体_GB2312"/>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cs="楷体_GB2312"/>
                <w:color w:val="000000"/>
                <w:kern w:val="0"/>
                <w:sz w:val="24"/>
                <w:szCs w:val="24"/>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楷体_GB2312" w:cs="楷体_GB2312"/>
                <w:color w:val="000000"/>
                <w:kern w:val="0"/>
                <w:sz w:val="24"/>
                <w:szCs w:val="24"/>
              </w:rPr>
            </w:pPr>
            <w:r>
              <w:rPr>
                <w:rFonts w:hint="eastAsia" w:eastAsia="楷体_GB2312" w:cs="楷体_GB2312"/>
                <w:b/>
                <w:bCs/>
                <w:color w:val="000000"/>
                <w:kern w:val="0"/>
                <w:sz w:val="24"/>
                <w:szCs w:val="24"/>
              </w:rPr>
              <w:t>适用情形</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楷体_GB2312" w:cs="楷体_GB2312"/>
                <w:color w:val="000000"/>
                <w:kern w:val="0"/>
                <w:sz w:val="24"/>
                <w:szCs w:val="24"/>
              </w:rPr>
            </w:pPr>
            <w:r>
              <w:rPr>
                <w:rFonts w:hint="eastAsia" w:eastAsia="楷体_GB2312" w:cs="楷体_GB2312"/>
                <w:b/>
                <w:bCs/>
                <w:color w:val="000000"/>
                <w:kern w:val="0"/>
                <w:sz w:val="24"/>
                <w:szCs w:val="24"/>
              </w:rPr>
              <w:t>处罚幅度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6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eastAsia="楷体_GB2312" w:cs="楷体_GB2312"/>
                <w:color w:val="000000"/>
                <w:kern w:val="0"/>
                <w:sz w:val="24"/>
                <w:szCs w:val="24"/>
              </w:rPr>
            </w:pPr>
            <w:r>
              <w:rPr>
                <w:rFonts w:hint="eastAsia" w:eastAsia="楷体_GB2312" w:cs="楷体_GB2312"/>
                <w:color w:val="000000"/>
                <w:kern w:val="0"/>
                <w:sz w:val="24"/>
                <w:szCs w:val="24"/>
              </w:rPr>
              <w:t>对擅自改建、占用物业共用部分的处罚</w:t>
            </w:r>
          </w:p>
        </w:tc>
        <w:tc>
          <w:tcPr>
            <w:tcW w:w="25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eastAsia="楷体_GB2312" w:cs="楷体_GB2312"/>
                <w:color w:val="000000"/>
                <w:kern w:val="0"/>
                <w:sz w:val="24"/>
                <w:szCs w:val="24"/>
              </w:rPr>
            </w:pPr>
            <w:r>
              <w:rPr>
                <w:rFonts w:hint="eastAsia" w:eastAsia="楷体_GB2312" w:cs="楷体_GB2312"/>
                <w:color w:val="000000"/>
                <w:kern w:val="0"/>
                <w:sz w:val="24"/>
                <w:szCs w:val="24"/>
              </w:rPr>
              <w:t>《上海市住宅物业管理规定》第八十五条</w:t>
            </w:r>
          </w:p>
        </w:tc>
        <w:tc>
          <w:tcPr>
            <w:tcW w:w="20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eastAsia="楷体_GB2312" w:cs="楷体_GB2312"/>
                <w:color w:val="000000"/>
                <w:kern w:val="0"/>
                <w:sz w:val="24"/>
                <w:szCs w:val="24"/>
              </w:rPr>
            </w:pPr>
            <w:r>
              <w:rPr>
                <w:rFonts w:hint="eastAsia" w:eastAsia="楷体_GB2312" w:cs="楷体_GB2312"/>
                <w:color w:val="000000"/>
                <w:kern w:val="0"/>
                <w:sz w:val="24"/>
                <w:szCs w:val="24"/>
              </w:rPr>
              <w:t>责令限期改正后立即改正，且有其他从轻情节的</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楷体_GB2312" w:cs="楷体_GB2312"/>
                <w:color w:val="000000"/>
                <w:kern w:val="0"/>
                <w:sz w:val="24"/>
                <w:szCs w:val="24"/>
              </w:rPr>
            </w:pPr>
            <w:r>
              <w:rPr>
                <w:rFonts w:hint="eastAsia" w:eastAsia="楷体_GB2312" w:cs="楷体_GB2312"/>
                <w:color w:val="000000"/>
                <w:kern w:val="0"/>
                <w:sz w:val="24"/>
                <w:szCs w:val="24"/>
              </w:rPr>
              <w:t>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cs="楷体_GB2312"/>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cs="楷体_GB2312"/>
                <w:color w:val="000000"/>
                <w:kern w:val="0"/>
                <w:sz w:val="24"/>
                <w:szCs w:val="24"/>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eastAsia="楷体_GB2312" w:cs="楷体_GB2312"/>
                <w:color w:val="000000"/>
                <w:kern w:val="0"/>
                <w:sz w:val="24"/>
                <w:szCs w:val="24"/>
              </w:rPr>
            </w:pPr>
            <w:r>
              <w:rPr>
                <w:rFonts w:hint="eastAsia" w:eastAsia="楷体_GB2312" w:cs="楷体_GB2312"/>
                <w:color w:val="000000"/>
                <w:kern w:val="0"/>
                <w:sz w:val="24"/>
                <w:szCs w:val="24"/>
              </w:rPr>
              <w:t>责令限期改正后立即改正的</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eastAsia="楷体_GB2312" w:cs="楷体_GB2312"/>
                <w:color w:val="000000"/>
                <w:kern w:val="0"/>
                <w:sz w:val="24"/>
                <w:szCs w:val="24"/>
              </w:rPr>
            </w:pPr>
            <w:r>
              <w:rPr>
                <w:rFonts w:hint="eastAsia" w:eastAsia="楷体_GB2312" w:cs="楷体_GB2312"/>
                <w:color w:val="000000"/>
                <w:kern w:val="0"/>
                <w:sz w:val="24"/>
                <w:szCs w:val="24"/>
              </w:rPr>
              <w:t>处</w:t>
            </w:r>
            <w:r>
              <w:rPr>
                <w:rFonts w:eastAsia="楷体_GB2312" w:cs="楷体_GB2312"/>
                <w:color w:val="000000"/>
                <w:kern w:val="0"/>
                <w:sz w:val="24"/>
                <w:szCs w:val="24"/>
              </w:rPr>
              <w:t>1000</w:t>
            </w:r>
            <w:r>
              <w:rPr>
                <w:rFonts w:hint="eastAsia" w:eastAsia="楷体_GB2312" w:cs="楷体_GB2312"/>
                <w:color w:val="000000"/>
                <w:kern w:val="0"/>
                <w:sz w:val="24"/>
                <w:szCs w:val="24"/>
              </w:rPr>
              <w:t>元以上</w:t>
            </w:r>
            <w:r>
              <w:rPr>
                <w:rFonts w:eastAsia="楷体_GB2312" w:cs="楷体_GB2312"/>
                <w:color w:val="000000"/>
                <w:kern w:val="0"/>
                <w:sz w:val="24"/>
                <w:szCs w:val="24"/>
              </w:rPr>
              <w:t>1</w:t>
            </w:r>
            <w:r>
              <w:rPr>
                <w:rFonts w:hint="eastAsia" w:eastAsia="楷体_GB2312" w:cs="楷体_GB2312"/>
                <w:color w:val="000000"/>
                <w:kern w:val="0"/>
                <w:sz w:val="24"/>
                <w:szCs w:val="24"/>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cs="楷体_GB2312"/>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cs="楷体_GB2312"/>
                <w:color w:val="000000"/>
                <w:kern w:val="0"/>
                <w:sz w:val="24"/>
                <w:szCs w:val="24"/>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eastAsia="楷体_GB2312" w:cs="楷体_GB2312"/>
                <w:color w:val="000000"/>
                <w:kern w:val="0"/>
                <w:sz w:val="24"/>
                <w:szCs w:val="24"/>
              </w:rPr>
            </w:pPr>
            <w:r>
              <w:rPr>
                <w:rFonts w:hint="eastAsia" w:eastAsia="楷体_GB2312" w:cs="楷体_GB2312"/>
                <w:color w:val="000000"/>
                <w:kern w:val="0"/>
                <w:sz w:val="24"/>
                <w:szCs w:val="24"/>
              </w:rPr>
              <w:t>责令限期改正后逾期未改正的</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eastAsia="楷体_GB2312" w:cs="楷体_GB2312"/>
                <w:color w:val="000000"/>
                <w:kern w:val="0"/>
                <w:sz w:val="24"/>
                <w:szCs w:val="24"/>
              </w:rPr>
            </w:pPr>
            <w:r>
              <w:rPr>
                <w:rFonts w:hint="eastAsia" w:eastAsia="楷体_GB2312" w:cs="楷体_GB2312"/>
                <w:color w:val="000000"/>
                <w:kern w:val="0"/>
                <w:sz w:val="24"/>
                <w:szCs w:val="24"/>
              </w:rPr>
              <w:t>处</w:t>
            </w:r>
            <w:r>
              <w:rPr>
                <w:rFonts w:eastAsia="楷体_GB2312" w:cs="楷体_GB2312"/>
                <w:color w:val="000000"/>
                <w:kern w:val="0"/>
                <w:sz w:val="24"/>
                <w:szCs w:val="24"/>
              </w:rPr>
              <w:t>1</w:t>
            </w:r>
            <w:r>
              <w:rPr>
                <w:rFonts w:hint="eastAsia" w:eastAsia="楷体_GB2312" w:cs="楷体_GB2312"/>
                <w:color w:val="000000"/>
                <w:kern w:val="0"/>
                <w:sz w:val="24"/>
                <w:szCs w:val="24"/>
              </w:rPr>
              <w:t>万元以上</w:t>
            </w:r>
            <w:r>
              <w:rPr>
                <w:rFonts w:eastAsia="楷体_GB2312" w:cs="楷体_GB2312"/>
                <w:color w:val="000000"/>
                <w:kern w:val="0"/>
                <w:sz w:val="24"/>
                <w:szCs w:val="24"/>
              </w:rPr>
              <w:t>5</w:t>
            </w:r>
            <w:r>
              <w:rPr>
                <w:rFonts w:hint="eastAsia" w:eastAsia="楷体_GB2312" w:cs="楷体_GB2312"/>
                <w:color w:val="000000"/>
                <w:kern w:val="0"/>
                <w:sz w:val="24"/>
                <w:szCs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cs="楷体_GB2312"/>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cs="楷体_GB2312"/>
                <w:color w:val="000000"/>
                <w:kern w:val="0"/>
                <w:sz w:val="24"/>
                <w:szCs w:val="24"/>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eastAsia="楷体_GB2312" w:cs="楷体_GB2312"/>
                <w:color w:val="000000"/>
                <w:kern w:val="0"/>
                <w:sz w:val="24"/>
                <w:szCs w:val="24"/>
              </w:rPr>
            </w:pPr>
            <w:r>
              <w:rPr>
                <w:rFonts w:hint="eastAsia" w:eastAsia="楷体_GB2312" w:cs="楷体_GB2312"/>
                <w:color w:val="000000"/>
                <w:kern w:val="0"/>
                <w:sz w:val="24"/>
                <w:szCs w:val="24"/>
              </w:rPr>
              <w:t>责令限期改正后逾期未改正，且有其他从重情节的</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eastAsia="楷体_GB2312" w:cs="楷体_GB2312"/>
                <w:color w:val="000000"/>
                <w:kern w:val="0"/>
                <w:sz w:val="24"/>
                <w:szCs w:val="24"/>
              </w:rPr>
            </w:pPr>
            <w:r>
              <w:rPr>
                <w:rFonts w:hint="eastAsia" w:eastAsia="楷体_GB2312" w:cs="楷体_GB2312"/>
                <w:color w:val="000000"/>
                <w:kern w:val="0"/>
                <w:sz w:val="24"/>
                <w:szCs w:val="24"/>
              </w:rPr>
              <w:t>处</w:t>
            </w:r>
            <w:r>
              <w:rPr>
                <w:rFonts w:eastAsia="楷体_GB2312" w:cs="楷体_GB2312"/>
                <w:color w:val="000000"/>
                <w:kern w:val="0"/>
                <w:sz w:val="24"/>
                <w:szCs w:val="24"/>
              </w:rPr>
              <w:t>5</w:t>
            </w:r>
            <w:r>
              <w:rPr>
                <w:rFonts w:hint="eastAsia" w:eastAsia="楷体_GB2312" w:cs="楷体_GB2312"/>
                <w:color w:val="000000"/>
                <w:kern w:val="0"/>
                <w:sz w:val="24"/>
                <w:szCs w:val="24"/>
              </w:rPr>
              <w:t>万元以上</w:t>
            </w:r>
            <w:r>
              <w:rPr>
                <w:rFonts w:eastAsia="楷体_GB2312" w:cs="楷体_GB2312"/>
                <w:color w:val="000000"/>
                <w:kern w:val="0"/>
                <w:sz w:val="24"/>
                <w:szCs w:val="24"/>
              </w:rPr>
              <w:t>10</w:t>
            </w:r>
            <w:r>
              <w:rPr>
                <w:rFonts w:hint="eastAsia" w:eastAsia="楷体_GB2312" w:cs="楷体_GB2312"/>
                <w:color w:val="000000"/>
                <w:kern w:val="0"/>
                <w:sz w:val="24"/>
                <w:szCs w:val="24"/>
              </w:rPr>
              <w:t>万元以下的罚款</w:t>
            </w:r>
          </w:p>
        </w:tc>
      </w:tr>
    </w:tbl>
    <w:p>
      <w:pPr>
        <w:widowControl/>
        <w:jc w:val="left"/>
        <w:rPr>
          <w:rFonts w:cs="宋体"/>
          <w:color w:val="000000"/>
          <w:kern w:val="0"/>
          <w:sz w:val="20"/>
        </w:rPr>
      </w:pPr>
    </w:p>
    <w:p>
      <w:pPr>
        <w:spacing w:line="480" w:lineRule="exact"/>
        <w:ind w:firstLine="562" w:firstLineChars="200"/>
        <w:jc w:val="left"/>
        <w:rPr>
          <w:rFonts w:eastAsia="楷体_GB2312" w:cs="楷体_GB2312"/>
          <w:sz w:val="28"/>
          <w:szCs w:val="28"/>
        </w:rPr>
      </w:pPr>
      <w:r>
        <w:rPr>
          <w:rFonts w:hint="eastAsia" w:eastAsia="楷体_GB2312" w:cs="楷体_GB2312"/>
          <w:b/>
          <w:bCs/>
          <w:sz w:val="28"/>
          <w:szCs w:val="28"/>
        </w:rPr>
        <w:t>《上海市市容环境卫生管理条例》</w:t>
      </w:r>
      <w:r>
        <w:rPr>
          <w:rFonts w:hint="eastAsia" w:eastAsia="楷体_GB2312" w:cs="楷体_GB2312"/>
          <w:sz w:val="28"/>
          <w:szCs w:val="28"/>
        </w:rPr>
        <w:t>第六十条第一款第一项</w:t>
      </w:r>
      <w:r>
        <w:rPr>
          <w:rFonts w:eastAsia="楷体_GB2312" w:cs="楷体_GB2312"/>
          <w:sz w:val="28"/>
          <w:szCs w:val="28"/>
        </w:rPr>
        <w:t xml:space="preserve"> </w:t>
      </w:r>
      <w:r>
        <w:rPr>
          <w:rFonts w:hint="eastAsia" w:eastAsia="楷体_GB2312" w:cs="楷体_GB2312"/>
          <w:sz w:val="28"/>
          <w:szCs w:val="28"/>
        </w:rPr>
        <w:t>市容环境卫生责任区的责任要求是：（一）保持市容整洁，无乱设摊、乱搭建、乱张贴、乱涂写、乱刻画、乱吊挂、乱堆放、乱停非机动车，无影响通行的积雪残冰；</w:t>
      </w:r>
    </w:p>
    <w:p>
      <w:pPr>
        <w:spacing w:line="480" w:lineRule="exact"/>
        <w:ind w:firstLine="560" w:firstLineChars="200"/>
        <w:rPr>
          <w:rFonts w:eastAsia="楷体_GB2312" w:cs="楷体_GB2312"/>
          <w:sz w:val="28"/>
          <w:szCs w:val="28"/>
        </w:rPr>
      </w:pPr>
      <w:r>
        <w:rPr>
          <w:rFonts w:hint="eastAsia" w:eastAsia="楷体_GB2312" w:cs="楷体_GB2312"/>
          <w:sz w:val="28"/>
          <w:szCs w:val="28"/>
        </w:rPr>
        <w:t>第六十条第三款</w:t>
      </w:r>
      <w:r>
        <w:rPr>
          <w:rFonts w:eastAsia="楷体_GB2312" w:cs="楷体_GB2312"/>
          <w:sz w:val="28"/>
          <w:szCs w:val="28"/>
        </w:rPr>
        <w:t xml:space="preserve"> </w:t>
      </w:r>
      <w:r>
        <w:rPr>
          <w:rFonts w:hint="eastAsia" w:eastAsia="楷体_GB2312" w:cs="楷体_GB2312"/>
          <w:sz w:val="28"/>
          <w:szCs w:val="28"/>
        </w:rPr>
        <w:t>责任人未履行责任要求的，由城市管理综合执法部门责令改正，可以处警告、一百元以上一千元以下罚款。</w:t>
      </w:r>
    </w:p>
    <w:p>
      <w:pPr>
        <w:spacing w:line="480" w:lineRule="exact"/>
        <w:rPr>
          <w:rFonts w:eastAsia="楷体_GB2312" w:cs="楷体_GB2312"/>
          <w:b/>
          <w:bCs/>
          <w:sz w:val="28"/>
          <w:szCs w:val="28"/>
        </w:rPr>
      </w:pPr>
      <w:r>
        <w:rPr>
          <w:rFonts w:hint="eastAsia" w:eastAsia="楷体_GB2312" w:cs="楷体_GB2312"/>
          <w:sz w:val="28"/>
          <w:szCs w:val="28"/>
        </w:rPr>
        <w:t>适用裁量基准：</w:t>
      </w:r>
      <w:r>
        <w:rPr>
          <w:rFonts w:hint="eastAsia" w:eastAsia="楷体_GB2312" w:cs="楷体_GB2312"/>
          <w:b/>
          <w:bCs/>
          <w:sz w:val="28"/>
          <w:szCs w:val="28"/>
        </w:rPr>
        <w:t>《</w:t>
      </w:r>
      <w:r>
        <w:rPr>
          <w:rFonts w:eastAsia="楷体_GB2312" w:cs="楷体_GB2312"/>
          <w:b/>
          <w:bCs/>
          <w:sz w:val="28"/>
          <w:szCs w:val="28"/>
        </w:rPr>
        <w:t>&lt;</w:t>
      </w:r>
      <w:r>
        <w:rPr>
          <w:rFonts w:hint="eastAsia" w:eastAsia="楷体_GB2312" w:cs="楷体_GB2312"/>
          <w:b/>
          <w:bCs/>
          <w:sz w:val="28"/>
          <w:szCs w:val="28"/>
        </w:rPr>
        <w:t>上海市市容环境卫生管理条例</w:t>
      </w:r>
      <w:r>
        <w:rPr>
          <w:rFonts w:eastAsia="楷体_GB2312" w:cs="楷体_GB2312"/>
          <w:b/>
          <w:bCs/>
          <w:sz w:val="28"/>
          <w:szCs w:val="28"/>
        </w:rPr>
        <w:t>&gt;</w:t>
      </w:r>
      <w:r>
        <w:rPr>
          <w:rFonts w:hint="eastAsia" w:eastAsia="楷体_GB2312" w:cs="楷体_GB2312"/>
          <w:b/>
          <w:bCs/>
          <w:sz w:val="28"/>
          <w:szCs w:val="28"/>
        </w:rPr>
        <w:t>行政处罚裁量基准》</w:t>
      </w:r>
    </w:p>
    <w:tbl>
      <w:tblPr>
        <w:tblStyle w:val="3"/>
        <w:tblpPr w:leftFromText="180" w:rightFromText="180" w:vertAnchor="text" w:horzAnchor="page" w:tblpX="1811" w:tblpY="1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2569"/>
        <w:gridCol w:w="2094"/>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6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楷体_GB2312" w:cs="楷体_GB2312"/>
                <w:color w:val="000000"/>
                <w:kern w:val="0"/>
                <w:sz w:val="24"/>
                <w:szCs w:val="24"/>
              </w:rPr>
            </w:pPr>
            <w:r>
              <w:rPr>
                <w:rFonts w:hint="eastAsia" w:eastAsia="楷体_GB2312" w:cs="楷体_GB2312"/>
                <w:b/>
                <w:bCs/>
                <w:color w:val="000000"/>
                <w:kern w:val="0"/>
                <w:sz w:val="24"/>
                <w:szCs w:val="24"/>
              </w:rPr>
              <w:t>处罚事项</w:t>
            </w:r>
          </w:p>
        </w:tc>
        <w:tc>
          <w:tcPr>
            <w:tcW w:w="25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楷体_GB2312" w:cs="楷体_GB2312"/>
                <w:color w:val="000000"/>
                <w:kern w:val="0"/>
                <w:sz w:val="24"/>
                <w:szCs w:val="24"/>
              </w:rPr>
            </w:pPr>
            <w:r>
              <w:rPr>
                <w:rFonts w:hint="eastAsia" w:eastAsia="楷体_GB2312" w:cs="楷体_GB2312"/>
                <w:b/>
                <w:bCs/>
                <w:color w:val="000000"/>
                <w:kern w:val="0"/>
                <w:sz w:val="24"/>
                <w:szCs w:val="24"/>
              </w:rPr>
              <w:t>处罚依据</w:t>
            </w:r>
          </w:p>
        </w:tc>
        <w:tc>
          <w:tcPr>
            <w:tcW w:w="41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楷体_GB2312" w:cs="楷体_GB2312"/>
                <w:color w:val="000000"/>
                <w:kern w:val="0"/>
                <w:sz w:val="24"/>
                <w:szCs w:val="24"/>
              </w:rPr>
            </w:pPr>
            <w:r>
              <w:rPr>
                <w:rFonts w:hint="eastAsia" w:eastAsia="楷体_GB2312" w:cs="楷体_GB2312"/>
                <w:b/>
                <w:bCs/>
                <w:color w:val="000000"/>
                <w:kern w:val="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cs="楷体_GB2312"/>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cs="楷体_GB2312"/>
                <w:color w:val="000000"/>
                <w:kern w:val="0"/>
                <w:sz w:val="24"/>
                <w:szCs w:val="24"/>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楷体_GB2312" w:cs="楷体_GB2312"/>
                <w:color w:val="000000"/>
                <w:kern w:val="0"/>
                <w:sz w:val="24"/>
                <w:szCs w:val="24"/>
              </w:rPr>
            </w:pPr>
            <w:r>
              <w:rPr>
                <w:rFonts w:hint="eastAsia" w:eastAsia="楷体_GB2312" w:cs="楷体_GB2312"/>
                <w:b/>
                <w:bCs/>
                <w:color w:val="000000"/>
                <w:kern w:val="0"/>
                <w:sz w:val="24"/>
                <w:szCs w:val="24"/>
              </w:rPr>
              <w:t>适用情形</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楷体_GB2312" w:cs="楷体_GB2312"/>
                <w:color w:val="000000"/>
                <w:kern w:val="0"/>
                <w:sz w:val="24"/>
                <w:szCs w:val="24"/>
              </w:rPr>
            </w:pPr>
            <w:r>
              <w:rPr>
                <w:rFonts w:hint="eastAsia" w:eastAsia="楷体_GB2312" w:cs="楷体_GB2312"/>
                <w:b/>
                <w:bCs/>
                <w:color w:val="000000"/>
                <w:kern w:val="0"/>
                <w:sz w:val="24"/>
                <w:szCs w:val="24"/>
              </w:rPr>
              <w:t>处罚幅度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6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eastAsia="楷体_GB2312" w:cs="楷体_GB2312"/>
                <w:color w:val="000000"/>
                <w:kern w:val="0"/>
                <w:sz w:val="24"/>
                <w:szCs w:val="24"/>
              </w:rPr>
            </w:pPr>
            <w:r>
              <w:rPr>
                <w:rFonts w:hint="eastAsia" w:eastAsia="楷体_GB2312" w:cs="楷体_GB2312"/>
                <w:color w:val="000000"/>
                <w:kern w:val="0"/>
                <w:sz w:val="24"/>
                <w:szCs w:val="24"/>
              </w:rPr>
              <w:t>对责任人未履行责任要求的行政处罚</w:t>
            </w:r>
          </w:p>
        </w:tc>
        <w:tc>
          <w:tcPr>
            <w:tcW w:w="25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eastAsia="楷体_GB2312" w:cs="楷体_GB2312"/>
                <w:color w:val="000000"/>
                <w:kern w:val="0"/>
                <w:sz w:val="24"/>
                <w:szCs w:val="24"/>
              </w:rPr>
            </w:pPr>
            <w:r>
              <w:rPr>
                <w:rFonts w:hint="eastAsia" w:eastAsia="楷体_GB2312" w:cs="楷体_GB2312"/>
                <w:color w:val="000000"/>
                <w:kern w:val="0"/>
                <w:sz w:val="24"/>
                <w:szCs w:val="24"/>
              </w:rPr>
              <w:t>《上海市市容环境卫生管理条例》第六十条第三款</w:t>
            </w:r>
          </w:p>
        </w:tc>
        <w:tc>
          <w:tcPr>
            <w:tcW w:w="20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eastAsia="楷体_GB2312" w:cs="楷体_GB2312"/>
                <w:color w:val="000000"/>
                <w:kern w:val="0"/>
                <w:sz w:val="24"/>
                <w:szCs w:val="24"/>
              </w:rPr>
            </w:pPr>
            <w:r>
              <w:rPr>
                <w:rFonts w:hint="eastAsia" w:eastAsia="楷体_GB2312" w:cs="楷体_GB2312"/>
                <w:color w:val="000000"/>
                <w:kern w:val="0"/>
                <w:sz w:val="24"/>
                <w:szCs w:val="24"/>
              </w:rPr>
              <w:t>违法行为发生在主要道路、居住区和景观区域以外区域，第二次及以上被发现的</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eastAsia="楷体_GB2312" w:cs="楷体_GB2312"/>
                <w:color w:val="000000"/>
                <w:kern w:val="0"/>
                <w:sz w:val="24"/>
                <w:szCs w:val="24"/>
              </w:rPr>
            </w:pPr>
            <w:r>
              <w:rPr>
                <w:rFonts w:hint="eastAsia" w:eastAsia="楷体_GB2312" w:cs="楷体_GB2312"/>
                <w:color w:val="000000"/>
                <w:kern w:val="0"/>
                <w:sz w:val="24"/>
                <w:szCs w:val="24"/>
              </w:rPr>
              <w:t>处警告，处</w:t>
            </w:r>
            <w:r>
              <w:rPr>
                <w:rFonts w:eastAsia="楷体_GB2312" w:cs="楷体_GB2312"/>
                <w:color w:val="000000"/>
                <w:kern w:val="0"/>
                <w:sz w:val="24"/>
                <w:szCs w:val="24"/>
              </w:rPr>
              <w:t>100</w:t>
            </w:r>
            <w:r>
              <w:rPr>
                <w:rFonts w:hint="eastAsia" w:eastAsia="楷体_GB2312" w:cs="楷体_GB2312"/>
                <w:color w:val="000000"/>
                <w:kern w:val="0"/>
                <w:sz w:val="24"/>
                <w:szCs w:val="24"/>
              </w:rPr>
              <w:t>元以上</w:t>
            </w:r>
            <w:r>
              <w:rPr>
                <w:rFonts w:eastAsia="楷体_GB2312" w:cs="楷体_GB2312"/>
                <w:color w:val="000000"/>
                <w:kern w:val="0"/>
                <w:sz w:val="24"/>
                <w:szCs w:val="24"/>
              </w:rPr>
              <w:t>500</w:t>
            </w:r>
            <w:r>
              <w:rPr>
                <w:rFonts w:hint="eastAsia" w:eastAsia="楷体_GB2312" w:cs="楷体_GB2312"/>
                <w:color w:val="000000"/>
                <w:kern w:val="0"/>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cs="楷体_GB2312"/>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cs="楷体_GB2312"/>
                <w:color w:val="000000"/>
                <w:kern w:val="0"/>
                <w:sz w:val="24"/>
                <w:szCs w:val="24"/>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eastAsia="楷体_GB2312" w:cs="楷体_GB2312"/>
                <w:color w:val="000000"/>
                <w:kern w:val="0"/>
                <w:sz w:val="24"/>
                <w:szCs w:val="24"/>
              </w:rPr>
            </w:pPr>
            <w:r>
              <w:rPr>
                <w:rFonts w:hint="eastAsia" w:eastAsia="楷体_GB2312" w:cs="楷体_GB2312"/>
                <w:color w:val="000000"/>
                <w:kern w:val="0"/>
                <w:sz w:val="24"/>
                <w:szCs w:val="24"/>
              </w:rPr>
              <w:t>符合下列情形之一：</w:t>
            </w:r>
          </w:p>
          <w:p>
            <w:pPr>
              <w:widowControl/>
              <w:spacing w:line="240" w:lineRule="exact"/>
              <w:ind w:firstLine="480" w:firstLineChars="200"/>
              <w:rPr>
                <w:rFonts w:eastAsia="楷体_GB2312" w:cs="楷体_GB2312"/>
                <w:color w:val="000000"/>
                <w:kern w:val="0"/>
                <w:sz w:val="24"/>
                <w:szCs w:val="24"/>
              </w:rPr>
            </w:pPr>
            <w:r>
              <w:rPr>
                <w:rFonts w:eastAsia="楷体_GB2312" w:cs="楷体_GB2312"/>
                <w:color w:val="000000"/>
                <w:kern w:val="0"/>
                <w:sz w:val="24"/>
                <w:szCs w:val="24"/>
              </w:rPr>
              <w:t>1</w:t>
            </w:r>
            <w:r>
              <w:rPr>
                <w:rFonts w:hint="eastAsia" w:eastAsia="楷体_GB2312" w:cs="楷体_GB2312"/>
                <w:color w:val="000000"/>
                <w:kern w:val="0"/>
                <w:sz w:val="24"/>
                <w:szCs w:val="24"/>
              </w:rPr>
              <w:t>、违法行为发生在主要道路、居住区和景观区域的；</w:t>
            </w:r>
          </w:p>
          <w:p>
            <w:pPr>
              <w:widowControl/>
              <w:spacing w:line="240" w:lineRule="exact"/>
              <w:ind w:firstLine="480" w:firstLineChars="200"/>
              <w:rPr>
                <w:rFonts w:eastAsia="楷体_GB2312" w:cs="楷体_GB2312"/>
                <w:color w:val="000000"/>
                <w:kern w:val="0"/>
                <w:sz w:val="24"/>
                <w:szCs w:val="24"/>
              </w:rPr>
            </w:pPr>
            <w:r>
              <w:rPr>
                <w:rFonts w:eastAsia="楷体_GB2312" w:cs="楷体_GB2312"/>
                <w:color w:val="000000"/>
                <w:kern w:val="0"/>
                <w:sz w:val="24"/>
                <w:szCs w:val="24"/>
              </w:rPr>
              <w:t>2</w:t>
            </w:r>
            <w:r>
              <w:rPr>
                <w:rFonts w:hint="eastAsia" w:eastAsia="楷体_GB2312" w:cs="楷体_GB2312"/>
                <w:color w:val="000000"/>
                <w:kern w:val="0"/>
                <w:sz w:val="24"/>
                <w:szCs w:val="24"/>
              </w:rPr>
              <w:t>、拒不改正的</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eastAsia="楷体_GB2312" w:cs="楷体_GB2312"/>
                <w:color w:val="000000"/>
                <w:kern w:val="0"/>
                <w:sz w:val="24"/>
                <w:szCs w:val="24"/>
              </w:rPr>
            </w:pPr>
            <w:r>
              <w:rPr>
                <w:rFonts w:hint="eastAsia" w:eastAsia="楷体_GB2312" w:cs="楷体_GB2312"/>
                <w:color w:val="000000"/>
                <w:kern w:val="0"/>
                <w:sz w:val="24"/>
                <w:szCs w:val="24"/>
              </w:rPr>
              <w:t>处警告，处</w:t>
            </w:r>
            <w:r>
              <w:rPr>
                <w:rFonts w:eastAsia="楷体_GB2312" w:cs="楷体_GB2312"/>
                <w:color w:val="000000"/>
                <w:kern w:val="0"/>
                <w:sz w:val="24"/>
                <w:szCs w:val="24"/>
              </w:rPr>
              <w:t>500</w:t>
            </w:r>
            <w:r>
              <w:rPr>
                <w:rFonts w:hint="eastAsia" w:eastAsia="楷体_GB2312" w:cs="楷体_GB2312"/>
                <w:color w:val="000000"/>
                <w:kern w:val="0"/>
                <w:sz w:val="24"/>
                <w:szCs w:val="24"/>
              </w:rPr>
              <w:t>元以上</w:t>
            </w:r>
            <w:r>
              <w:rPr>
                <w:rFonts w:eastAsia="楷体_GB2312" w:cs="楷体_GB2312"/>
                <w:color w:val="000000"/>
                <w:kern w:val="0"/>
                <w:sz w:val="24"/>
                <w:szCs w:val="24"/>
              </w:rPr>
              <w:t>1000</w:t>
            </w:r>
            <w:r>
              <w:rPr>
                <w:rFonts w:hint="eastAsia" w:eastAsia="楷体_GB2312" w:cs="楷体_GB2312"/>
                <w:color w:val="000000"/>
                <w:kern w:val="0"/>
                <w:sz w:val="24"/>
                <w:szCs w:val="24"/>
              </w:rPr>
              <w:t>元以下罚款</w:t>
            </w:r>
          </w:p>
        </w:tc>
      </w:tr>
    </w:tbl>
    <w:p>
      <w:pPr>
        <w:spacing w:line="480" w:lineRule="exact"/>
        <w:rPr>
          <w:rFonts w:eastAsia="楷体_GB2312" w:cs="楷体_GB2312"/>
          <w:sz w:val="28"/>
          <w:szCs w:val="28"/>
        </w:rPr>
      </w:pPr>
    </w:p>
    <w:p>
      <w:pPr>
        <w:spacing w:line="480" w:lineRule="exact"/>
        <w:ind w:firstLine="562" w:firstLineChars="200"/>
        <w:jc w:val="left"/>
        <w:rPr>
          <w:rFonts w:eastAsia="楷体_GB2312" w:cs="楷体_GB2312"/>
          <w:sz w:val="28"/>
          <w:szCs w:val="28"/>
        </w:rPr>
      </w:pPr>
      <w:r>
        <w:rPr>
          <w:rFonts w:hint="eastAsia" w:eastAsia="楷体_GB2312" w:cs="楷体_GB2312"/>
          <w:b/>
          <w:bCs/>
          <w:sz w:val="28"/>
          <w:szCs w:val="28"/>
        </w:rPr>
        <w:t>《中华人民共和国无障碍环境建设法》</w:t>
      </w:r>
      <w:r>
        <w:rPr>
          <w:rFonts w:hint="eastAsia" w:eastAsia="楷体_GB2312" w:cs="楷体_GB2312"/>
          <w:sz w:val="28"/>
          <w:szCs w:val="28"/>
        </w:rPr>
        <w:t>第二十八条</w:t>
      </w:r>
      <w:r>
        <w:rPr>
          <w:rFonts w:eastAsia="楷体_GB2312" w:cs="楷体_GB2312"/>
          <w:sz w:val="28"/>
          <w:szCs w:val="28"/>
        </w:rPr>
        <w:t xml:space="preserve"> </w:t>
      </w:r>
      <w:r>
        <w:rPr>
          <w:rFonts w:hint="eastAsia" w:eastAsia="楷体_GB2312" w:cs="楷体_GB2312"/>
          <w:sz w:val="28"/>
          <w:szCs w:val="28"/>
        </w:rPr>
        <w:t>任何单位和个人不得擅自改变无障碍设施的用途或者非法占用、损坏无障碍设施。</w:t>
      </w:r>
    </w:p>
    <w:p>
      <w:pPr>
        <w:spacing w:line="480" w:lineRule="exact"/>
        <w:ind w:firstLine="560" w:firstLineChars="200"/>
        <w:jc w:val="left"/>
        <w:rPr>
          <w:rFonts w:eastAsia="楷体_GB2312" w:cs="楷体_GB2312"/>
          <w:sz w:val="28"/>
          <w:szCs w:val="28"/>
        </w:rPr>
      </w:pPr>
      <w:r>
        <w:rPr>
          <w:rFonts w:hint="eastAsia" w:eastAsia="楷体_GB2312" w:cs="楷体_GB2312"/>
          <w:sz w:val="28"/>
          <w:szCs w:val="28"/>
        </w:rPr>
        <w:t>第六十五条</w:t>
      </w:r>
      <w:r>
        <w:rPr>
          <w:rFonts w:eastAsia="楷体_GB2312" w:cs="楷体_GB2312"/>
          <w:sz w:val="28"/>
          <w:szCs w:val="28"/>
        </w:rPr>
        <w:t xml:space="preserve"> </w:t>
      </w:r>
      <w:r>
        <w:rPr>
          <w:rFonts w:hint="eastAsia" w:eastAsia="楷体_GB2312" w:cs="楷体_GB2312"/>
          <w:sz w:val="28"/>
          <w:szCs w:val="28"/>
        </w:rPr>
        <w:t>违反本法规定，有下列情形之一的，由住房和城乡建设、民政、交通运输等相关主管部门责令限期改正；逾期未改正的，对单位处一万元以上三万元以下罚款，对个人处一百元以上五百元以下罚款：（三）擅自改变无障碍设施的用途或者非法占用、损坏无障碍设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微软雅黑"/>
    <w:panose1 w:val="000000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xNWFlODExMTZiMGIyZjFkYTk3Mjk5MzQyM2Y5OTMifQ=="/>
  </w:docVars>
  <w:rsids>
    <w:rsidRoot w:val="180E0C43"/>
    <w:rsid w:val="180E0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2024-08-14T02:21:00Z</dcterms:created>
  <dc:creator>User</dc:creator>
  <cp:lastModifiedBy>User</cp:lastModifiedBy>
  <dcterms:modified xsi:type="dcterms:W3CDTF">2024-08-14T02:22:18Z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38075678DA334BFB9FE8FF3D05024572_11</vt:lpwstr>
  </property>
</Properties>
</file>