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</w:p>
    <w:p>
      <w:pPr>
        <w:pStyle w:val="9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浦东新区农业产业化联合体综合监测考核评分表</w:t>
      </w:r>
    </w:p>
    <w:p>
      <w:pPr>
        <w:pStyle w:val="9"/>
        <w:snapToGrid w:val="0"/>
        <w:spacing w:before="0" w:beforeAutospacing="0" w:after="0" w:afterAutospacing="0" w:line="560" w:lineRule="exact"/>
        <w:ind w:left="-199" w:leftChars="-95" w:firstLine="198" w:firstLineChars="71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联合体名称：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</w:t>
      </w:r>
    </w:p>
    <w:tbl>
      <w:tblPr>
        <w:tblStyle w:val="6"/>
        <w:tblW w:w="9717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45"/>
        <w:gridCol w:w="6204"/>
        <w:gridCol w:w="948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2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监测标准（分值）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组成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成员单位至少有5个成员单位。联合体内各主体未被相关职能部门列入经营异常名录，未发生重大农产品安全质量问题和土地“非农化”等行为。（5分）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联合体联合体有成员共同制定的联合体章程。有围绕主导产业的建设方案，需包括产业、要素、利益联接机制等内容（5分）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基地规模。种植业：粮食种植规模在3000亩以上，设施蔬菜瓜果(不含园林水果)在500亩以上或露地蔬菜（水生）在1000亩以上；瓜果种植面积在2000亩以上；水产养殖业：规模养殖面积在500亩以上；其他类：种养结合的基地在1000亩以上；休闲生态农业基地500亩以上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基础设施。牵头单位有良好的加工设施、生产设施，具备必要的厂房、仓储设施，农业生产或加工主要环节基本实现机械化（10分）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经营规范（40分）</w:t>
            </w: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品牌创建。主要产品具有一定的市场知名度，食用农产品具备有效的绿色食品或有机农产品认证证书和注册商标，实现企业品牌共享共建（10分）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生产标准化。联合体按照国家标准、行业标准、地方标准、企业标准和绿色生产要求进行标准化生产，符合农产品质量安全要求。牵头单位有生产、加工过程的生产记录档案（10分）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服务全程化。统一供种、统一生产、统一技术、统一服务、统一收购、统一品牌“产加销”一体化经营方式（10分）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财务规范化。设置会计账簿，编制会计报表，详细记录联合体成员单位之间采购销售账目。联合体成员大会会议记录、程序等齐全（10分）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45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带动效应（30分）</w:t>
            </w: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济效益明显。农产品生产型牵头单位年销售收入达到2000万元、休闲生态农业型联合体成员单位总销售额收入达到3000万元、加工型牵头单位年销售收入达到5000万元、流通型牵头单位年交易（经销）额达到5000万元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分配机制明确。牵头单位与成员单位之间严格按照联合体章程分红，利益共享。可分配盈余主要按照成员与牵头单位的交易量（额）比例返还，返还总额不低于可分配盈余的60%（10分）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94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0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带动作用显著。带动农户农业经营收入高于同区域农户10%以上，或带动区域内村级集体经济组织增收或资产增值（10分）</w:t>
            </w:r>
          </w:p>
        </w:tc>
        <w:tc>
          <w:tcPr>
            <w:tcW w:w="94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35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  <w:tc>
          <w:tcPr>
            <w:tcW w:w="1782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镇农业主管部门（章）：            监测组成员（签字）：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pStyle w:val="4"/>
        <w:ind w:left="0" w:leftChars="0" w:firstLine="0" w:firstLineChars="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联合体负责人（签字确认）：              监测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日期：   年  月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  <w:t>备注：</w:t>
      </w: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1、</w:t>
      </w:r>
      <w:r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  <w:t>得分80分</w:t>
      </w: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及</w:t>
      </w:r>
      <w:r>
        <w:rPr>
          <w:rFonts w:hint="default" w:ascii="仿宋_GB2312" w:eastAsia="仿宋_GB2312"/>
          <w:color w:val="000000"/>
          <w:sz w:val="28"/>
          <w:szCs w:val="28"/>
          <w:vertAlign w:val="baseline"/>
          <w:lang w:val="en-US" w:eastAsia="zh-CN"/>
        </w:rPr>
        <w:t>以上为合格。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4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2、监测所需提供材料：（1）联合体上年度成员大会会议记录复印件；（2）联合体成员大会决议、重大事项表决复印件；（3）联合体上年度资产负债表、盈余及盈余分配表、成员账户变动表、成员账户表；（4）经成员大会表决的盈余分配方案、盈余分配表复印件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10" w:right="1576" w:bottom="161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462B21F6"/>
    <w:rsid w:val="462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next w:val="2"/>
    <w:qFormat/>
    <w:uiPriority w:val="0"/>
    <w:pPr>
      <w:widowControl w:val="0"/>
      <w:ind w:firstLine="18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1047</Words>
  <Characters>1097</Characters>
  <Lines>0</Lines>
  <Paragraphs>0</Paragraphs>
  <TotalTime>0</TotalTime>
  <ScaleCrop>false</ScaleCrop>
  <LinksUpToDate>false</LinksUpToDate>
  <CharactersWithSpaces>1156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2023-04-17T07:31:00Z</dcterms:created>
  <dc:creator>不理不理左卫门</dc:creator>
  <cp:lastModifiedBy>不理不理左卫门</cp:lastModifiedBy>
  <dcterms:modified xsi:type="dcterms:W3CDTF">2023-04-17T07:31:39Z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A2698739D30F4FB887B82000C553F006_11</vt:lpwstr>
  </property>
</Properties>
</file>