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A06D7">
      <w:pPr>
        <w:pStyle w:val="10"/>
        <w:keepNext w:val="0"/>
        <w:keepLines w:val="0"/>
        <w:pageBreakBefore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方正小标宋简体" w:cs="Times New Roman"/>
          <w:kern w:val="2"/>
          <w:sz w:val="44"/>
          <w:szCs w:val="36"/>
          <w:lang w:val="en-US" w:eastAsia="zh-CN" w:bidi="ar-SA"/>
        </w:rPr>
      </w:pPr>
      <w:r>
        <w:rPr>
          <w:rFonts w:hint="eastAsia" w:ascii="Times New Roman" w:hAnsi="Times New Roman" w:eastAsia="方正小标宋简体" w:cs="Times New Roman"/>
          <w:kern w:val="2"/>
          <w:sz w:val="44"/>
          <w:szCs w:val="36"/>
          <w:lang w:val="en-US" w:eastAsia="zh-CN" w:bidi="ar-SA"/>
        </w:rPr>
        <w:t>书院镇处置地下空间突发事件专项应急预案</w:t>
      </w:r>
    </w:p>
    <w:p w14:paraId="4A3AF102">
      <w:pPr>
        <w:keepNext w:val="0"/>
        <w:keepLines w:val="0"/>
        <w:pageBreakBefore w:val="0"/>
        <w:kinsoku/>
        <w:wordWrap/>
        <w:overflowPunct/>
        <w:topLinePunct w:val="0"/>
        <w:autoSpaceDE/>
        <w:autoSpaceDN/>
        <w:bidi w:val="0"/>
        <w:adjustRightInd/>
        <w:snapToGrid/>
        <w:spacing w:line="600" w:lineRule="exact"/>
        <w:ind w:left="0" w:leftChars="0" w:right="0"/>
        <w:jc w:val="left"/>
        <w:textAlignment w:val="auto"/>
        <w:rPr>
          <w:rFonts w:hint="eastAsia" w:ascii="仿宋_GB2312" w:hAnsi="仿宋_GB2312" w:eastAsia="仿宋_GB2312" w:cs="仿宋_GB2312"/>
          <w:sz w:val="32"/>
          <w:szCs w:val="32"/>
        </w:rPr>
      </w:pPr>
    </w:p>
    <w:p w14:paraId="101337A0">
      <w:pPr>
        <w:keepNext w:val="0"/>
        <w:keepLines w:val="0"/>
        <w:pageBreakBefore w:val="0"/>
        <w:kinsoku/>
        <w:wordWrap/>
        <w:overflowPunct/>
        <w:topLinePunct w:val="0"/>
        <w:autoSpaceDE/>
        <w:autoSpaceDN/>
        <w:bidi w:val="0"/>
        <w:adjustRightInd/>
        <w:snapToGrid/>
        <w:spacing w:line="600" w:lineRule="exact"/>
        <w:ind w:left="0" w:leftChars="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  录</w:t>
      </w:r>
    </w:p>
    <w:p w14:paraId="557C6890">
      <w:pPr>
        <w:keepNext w:val="0"/>
        <w:keepLines w:val="0"/>
        <w:pageBreakBefore w:val="0"/>
        <w:kinsoku/>
        <w:wordWrap/>
        <w:overflowPunct/>
        <w:topLinePunct w:val="0"/>
        <w:autoSpaceDE/>
        <w:autoSpaceDN/>
        <w:bidi w:val="0"/>
        <w:adjustRightInd/>
        <w:snapToGrid/>
        <w:spacing w:line="600" w:lineRule="exact"/>
        <w:ind w:left="0" w:leftChars="0" w:right="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val="0"/>
          <w:bCs w:val="0"/>
          <w:sz w:val="32"/>
          <w:szCs w:val="32"/>
        </w:rPr>
        <w:t>1.</w:t>
      </w:r>
      <w:r>
        <w:rPr>
          <w:rFonts w:hint="eastAsia" w:ascii="仿宋_GB2312" w:hAnsi="仿宋_GB2312" w:eastAsia="仿宋_GB2312" w:cs="仿宋_GB2312"/>
          <w:sz w:val="32"/>
          <w:szCs w:val="32"/>
        </w:rPr>
        <w:t>总则</w:t>
      </w:r>
    </w:p>
    <w:p w14:paraId="5FFCD839">
      <w:pPr>
        <w:keepNext w:val="0"/>
        <w:keepLines w:val="0"/>
        <w:pageBreakBefore w:val="0"/>
        <w:kinsoku/>
        <w:wordWrap/>
        <w:overflowPunct/>
        <w:topLinePunct w:val="0"/>
        <w:autoSpaceDE/>
        <w:autoSpaceDN/>
        <w:bidi w:val="0"/>
        <w:adjustRightInd/>
        <w:snapToGrid/>
        <w:spacing w:line="60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1.1</w:t>
      </w:r>
      <w:r>
        <w:rPr>
          <w:rFonts w:hint="eastAsia" w:ascii="仿宋_GB2312" w:hAnsi="仿宋_GB2312" w:eastAsia="仿宋_GB2312" w:cs="仿宋_GB2312"/>
          <w:sz w:val="32"/>
          <w:szCs w:val="32"/>
        </w:rPr>
        <w:t>编制目的</w:t>
      </w:r>
    </w:p>
    <w:p w14:paraId="3EDA3AB9">
      <w:pPr>
        <w:keepNext w:val="0"/>
        <w:keepLines w:val="0"/>
        <w:pageBreakBefore w:val="0"/>
        <w:kinsoku/>
        <w:wordWrap/>
        <w:overflowPunct/>
        <w:topLinePunct w:val="0"/>
        <w:autoSpaceDE/>
        <w:autoSpaceDN/>
        <w:bidi w:val="0"/>
        <w:adjustRightInd/>
        <w:snapToGrid/>
        <w:spacing w:line="60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1.2</w:t>
      </w:r>
      <w:r>
        <w:rPr>
          <w:rFonts w:hint="eastAsia" w:ascii="仿宋_GB2312" w:hAnsi="仿宋_GB2312" w:eastAsia="仿宋_GB2312" w:cs="仿宋_GB2312"/>
          <w:sz w:val="32"/>
          <w:szCs w:val="32"/>
        </w:rPr>
        <w:t>编制依据</w:t>
      </w:r>
    </w:p>
    <w:p w14:paraId="3C2D1EB6">
      <w:pPr>
        <w:keepNext w:val="0"/>
        <w:keepLines w:val="0"/>
        <w:pageBreakBefore w:val="0"/>
        <w:kinsoku/>
        <w:wordWrap/>
        <w:overflowPunct/>
        <w:topLinePunct w:val="0"/>
        <w:autoSpaceDE/>
        <w:autoSpaceDN/>
        <w:bidi w:val="0"/>
        <w:adjustRightInd/>
        <w:snapToGrid/>
        <w:spacing w:line="60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1.3</w:t>
      </w:r>
      <w:r>
        <w:rPr>
          <w:rFonts w:hint="eastAsia" w:ascii="仿宋_GB2312" w:hAnsi="仿宋_GB2312" w:eastAsia="仿宋_GB2312" w:cs="仿宋_GB2312"/>
          <w:sz w:val="32"/>
          <w:szCs w:val="32"/>
        </w:rPr>
        <w:t>适用范围</w:t>
      </w:r>
    </w:p>
    <w:p w14:paraId="330EE60E">
      <w:pPr>
        <w:keepNext w:val="0"/>
        <w:keepLines w:val="0"/>
        <w:pageBreakBefore w:val="0"/>
        <w:kinsoku/>
        <w:wordWrap/>
        <w:overflowPunct/>
        <w:topLinePunct w:val="0"/>
        <w:autoSpaceDE/>
        <w:autoSpaceDN/>
        <w:bidi w:val="0"/>
        <w:adjustRightInd/>
        <w:snapToGrid/>
        <w:spacing w:line="60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1.4</w:t>
      </w:r>
      <w:r>
        <w:rPr>
          <w:rFonts w:hint="eastAsia" w:ascii="仿宋_GB2312" w:hAnsi="仿宋_GB2312" w:eastAsia="仿宋_GB2312" w:cs="仿宋_GB2312"/>
          <w:sz w:val="32"/>
          <w:szCs w:val="32"/>
        </w:rPr>
        <w:t>事件分级</w:t>
      </w:r>
      <w:bookmarkStart w:id="0" w:name="_GoBack"/>
      <w:bookmarkEnd w:id="0"/>
    </w:p>
    <w:p w14:paraId="39F03743">
      <w:pPr>
        <w:keepNext w:val="0"/>
        <w:keepLines w:val="0"/>
        <w:pageBreakBefore w:val="0"/>
        <w:kinsoku/>
        <w:wordWrap/>
        <w:overflowPunct/>
        <w:topLinePunct w:val="0"/>
        <w:autoSpaceDE/>
        <w:autoSpaceDN/>
        <w:bidi w:val="0"/>
        <w:adjustRightInd/>
        <w:snapToGrid/>
        <w:spacing w:line="60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1.5</w:t>
      </w:r>
      <w:r>
        <w:rPr>
          <w:rFonts w:hint="eastAsia" w:ascii="仿宋_GB2312" w:hAnsi="仿宋_GB2312" w:eastAsia="仿宋_GB2312" w:cs="仿宋_GB2312"/>
          <w:sz w:val="32"/>
          <w:szCs w:val="32"/>
        </w:rPr>
        <w:t>工作原则</w:t>
      </w:r>
    </w:p>
    <w:p w14:paraId="5CCAE2AD">
      <w:pPr>
        <w:keepNext w:val="0"/>
        <w:keepLines w:val="0"/>
        <w:pageBreakBefore w:val="0"/>
        <w:kinsoku/>
        <w:wordWrap/>
        <w:overflowPunct/>
        <w:topLinePunct w:val="0"/>
        <w:autoSpaceDE/>
        <w:autoSpaceDN/>
        <w:bidi w:val="0"/>
        <w:adjustRightInd/>
        <w:snapToGrid/>
        <w:spacing w:line="60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1.6</w:t>
      </w:r>
      <w:r>
        <w:rPr>
          <w:rFonts w:hint="eastAsia" w:ascii="仿宋_GB2312" w:hAnsi="仿宋_GB2312" w:eastAsia="仿宋_GB2312" w:cs="仿宋_GB2312"/>
          <w:sz w:val="32"/>
          <w:szCs w:val="32"/>
        </w:rPr>
        <w:t>预案体系</w:t>
      </w:r>
    </w:p>
    <w:p w14:paraId="3F51AB6C">
      <w:pPr>
        <w:keepNext w:val="0"/>
        <w:keepLines w:val="0"/>
        <w:pageBreakBefore w:val="0"/>
        <w:kinsoku/>
        <w:wordWrap/>
        <w:overflowPunct/>
        <w:topLinePunct w:val="0"/>
        <w:autoSpaceDE/>
        <w:autoSpaceDN/>
        <w:bidi w:val="0"/>
        <w:adjustRightInd/>
        <w:snapToGrid/>
        <w:spacing w:line="600" w:lineRule="exact"/>
        <w:ind w:left="0" w:leftChars="0" w:right="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2.</w:t>
      </w:r>
      <w:r>
        <w:rPr>
          <w:rFonts w:hint="eastAsia" w:ascii="仿宋_GB2312" w:hAnsi="仿宋_GB2312" w:eastAsia="仿宋_GB2312" w:cs="仿宋_GB2312"/>
          <w:sz w:val="32"/>
          <w:szCs w:val="32"/>
        </w:rPr>
        <w:t>组织体系</w:t>
      </w:r>
    </w:p>
    <w:p w14:paraId="6636ADA9">
      <w:pPr>
        <w:keepNext w:val="0"/>
        <w:keepLines w:val="0"/>
        <w:pageBreakBefore w:val="0"/>
        <w:kinsoku/>
        <w:wordWrap/>
        <w:overflowPunct/>
        <w:topLinePunct w:val="0"/>
        <w:autoSpaceDE/>
        <w:autoSpaceDN/>
        <w:bidi w:val="0"/>
        <w:adjustRightInd/>
        <w:snapToGrid/>
        <w:spacing w:line="60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2.1</w:t>
      </w:r>
      <w:r>
        <w:rPr>
          <w:rFonts w:hint="eastAsia" w:ascii="仿宋_GB2312" w:hAnsi="仿宋_GB2312" w:eastAsia="仿宋_GB2312" w:cs="仿宋_GB2312"/>
          <w:sz w:val="32"/>
          <w:szCs w:val="32"/>
        </w:rPr>
        <w:t>领导机构</w:t>
      </w:r>
    </w:p>
    <w:p w14:paraId="32D93EA9">
      <w:pPr>
        <w:keepNext w:val="0"/>
        <w:keepLines w:val="0"/>
        <w:pageBreakBefore w:val="0"/>
        <w:kinsoku/>
        <w:wordWrap/>
        <w:overflowPunct/>
        <w:topLinePunct w:val="0"/>
        <w:autoSpaceDE/>
        <w:autoSpaceDN/>
        <w:bidi w:val="0"/>
        <w:adjustRightInd/>
        <w:snapToGrid/>
        <w:spacing w:line="60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2.2</w:t>
      </w:r>
      <w:r>
        <w:rPr>
          <w:rFonts w:hint="eastAsia" w:ascii="仿宋_GB2312" w:hAnsi="仿宋_GB2312" w:eastAsia="仿宋_GB2312" w:cs="仿宋_GB2312"/>
          <w:sz w:val="32"/>
          <w:szCs w:val="32"/>
        </w:rPr>
        <w:t>应急联动机构</w:t>
      </w:r>
    </w:p>
    <w:p w14:paraId="25F96E2C">
      <w:pPr>
        <w:keepNext w:val="0"/>
        <w:keepLines w:val="0"/>
        <w:pageBreakBefore w:val="0"/>
        <w:kinsoku/>
        <w:wordWrap/>
        <w:overflowPunct/>
        <w:topLinePunct w:val="0"/>
        <w:autoSpaceDE/>
        <w:autoSpaceDN/>
        <w:bidi w:val="0"/>
        <w:adjustRightInd/>
        <w:snapToGrid/>
        <w:spacing w:line="60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2.3</w:t>
      </w:r>
      <w:r>
        <w:rPr>
          <w:rFonts w:hint="eastAsia" w:ascii="仿宋_GB2312" w:hAnsi="仿宋_GB2312" w:eastAsia="仿宋_GB2312" w:cs="仿宋_GB2312"/>
          <w:sz w:val="32"/>
          <w:szCs w:val="32"/>
        </w:rPr>
        <w:t>指挥机构</w:t>
      </w:r>
    </w:p>
    <w:p w14:paraId="71BE2123">
      <w:pPr>
        <w:keepNext w:val="0"/>
        <w:keepLines w:val="0"/>
        <w:pageBreakBefore w:val="0"/>
        <w:kinsoku/>
        <w:wordWrap/>
        <w:overflowPunct/>
        <w:topLinePunct w:val="0"/>
        <w:autoSpaceDE/>
        <w:autoSpaceDN/>
        <w:bidi w:val="0"/>
        <w:adjustRightInd/>
        <w:snapToGrid/>
        <w:spacing w:line="60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2.4</w:t>
      </w:r>
      <w:r>
        <w:rPr>
          <w:rFonts w:hint="eastAsia" w:ascii="仿宋_GB2312" w:hAnsi="仿宋_GB2312" w:eastAsia="仿宋_GB2312" w:cs="仿宋_GB2312"/>
          <w:sz w:val="32"/>
          <w:szCs w:val="32"/>
        </w:rPr>
        <w:t>工作机构</w:t>
      </w:r>
    </w:p>
    <w:p w14:paraId="4FFBE0FD">
      <w:pPr>
        <w:keepNext w:val="0"/>
        <w:keepLines w:val="0"/>
        <w:pageBreakBefore w:val="0"/>
        <w:kinsoku/>
        <w:wordWrap/>
        <w:overflowPunct/>
        <w:topLinePunct w:val="0"/>
        <w:autoSpaceDE/>
        <w:autoSpaceDN/>
        <w:bidi w:val="0"/>
        <w:adjustRightInd/>
        <w:snapToGrid/>
        <w:spacing w:line="60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2.5</w:t>
      </w:r>
      <w:r>
        <w:rPr>
          <w:rFonts w:hint="eastAsia" w:ascii="仿宋_GB2312" w:hAnsi="仿宋_GB2312" w:eastAsia="仿宋_GB2312" w:cs="仿宋_GB2312"/>
          <w:sz w:val="32"/>
          <w:szCs w:val="32"/>
        </w:rPr>
        <w:t>专家机构</w:t>
      </w:r>
    </w:p>
    <w:p w14:paraId="4DD6B261">
      <w:pPr>
        <w:keepNext w:val="0"/>
        <w:keepLines w:val="0"/>
        <w:pageBreakBefore w:val="0"/>
        <w:kinsoku/>
        <w:wordWrap/>
        <w:overflowPunct/>
        <w:topLinePunct w:val="0"/>
        <w:autoSpaceDE/>
        <w:autoSpaceDN/>
        <w:bidi w:val="0"/>
        <w:adjustRightInd/>
        <w:snapToGrid/>
        <w:spacing w:line="600" w:lineRule="exact"/>
        <w:ind w:left="0" w:leftChars="0" w:right="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3.</w:t>
      </w:r>
      <w:r>
        <w:rPr>
          <w:rFonts w:hint="eastAsia" w:ascii="仿宋_GB2312" w:hAnsi="仿宋_GB2312" w:eastAsia="仿宋_GB2312" w:cs="仿宋_GB2312"/>
          <w:sz w:val="32"/>
          <w:szCs w:val="32"/>
        </w:rPr>
        <w:t>风险评估</w:t>
      </w:r>
    </w:p>
    <w:p w14:paraId="7ABC7FB8">
      <w:pPr>
        <w:keepNext w:val="0"/>
        <w:keepLines w:val="0"/>
        <w:pageBreakBefore w:val="0"/>
        <w:kinsoku/>
        <w:wordWrap/>
        <w:overflowPunct/>
        <w:topLinePunct w:val="0"/>
        <w:autoSpaceDE/>
        <w:autoSpaceDN/>
        <w:bidi w:val="0"/>
        <w:adjustRightInd/>
        <w:snapToGrid/>
        <w:spacing w:line="600" w:lineRule="exact"/>
        <w:ind w:right="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4.</w:t>
      </w:r>
      <w:r>
        <w:rPr>
          <w:rFonts w:hint="eastAsia" w:ascii="仿宋_GB2312" w:hAnsi="仿宋_GB2312" w:eastAsia="仿宋_GB2312" w:cs="仿宋_GB2312"/>
          <w:sz w:val="32"/>
          <w:szCs w:val="32"/>
        </w:rPr>
        <w:t>监测预警</w:t>
      </w:r>
    </w:p>
    <w:p w14:paraId="135351EA">
      <w:pPr>
        <w:keepNext w:val="0"/>
        <w:keepLines w:val="0"/>
        <w:pageBreakBefore w:val="0"/>
        <w:kinsoku/>
        <w:wordWrap/>
        <w:overflowPunct/>
        <w:topLinePunct w:val="0"/>
        <w:autoSpaceDE/>
        <w:autoSpaceDN/>
        <w:bidi w:val="0"/>
        <w:adjustRightInd/>
        <w:snapToGrid/>
        <w:spacing w:line="60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4.1</w:t>
      </w:r>
      <w:r>
        <w:rPr>
          <w:rFonts w:hint="eastAsia" w:ascii="仿宋_GB2312" w:hAnsi="仿宋_GB2312" w:eastAsia="仿宋_GB2312" w:cs="仿宋_GB2312"/>
          <w:sz w:val="32"/>
          <w:szCs w:val="32"/>
        </w:rPr>
        <w:t>信息监测</w:t>
      </w:r>
    </w:p>
    <w:p w14:paraId="086E5097">
      <w:pPr>
        <w:keepNext w:val="0"/>
        <w:keepLines w:val="0"/>
        <w:pageBreakBefore w:val="0"/>
        <w:kinsoku/>
        <w:wordWrap/>
        <w:overflowPunct/>
        <w:topLinePunct w:val="0"/>
        <w:autoSpaceDE/>
        <w:autoSpaceDN/>
        <w:bidi w:val="0"/>
        <w:adjustRightInd/>
        <w:snapToGrid/>
        <w:spacing w:line="60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4.2</w:t>
      </w:r>
      <w:r>
        <w:rPr>
          <w:rFonts w:hint="eastAsia" w:ascii="仿宋_GB2312" w:hAnsi="仿宋_GB2312" w:eastAsia="仿宋_GB2312" w:cs="仿宋_GB2312"/>
          <w:sz w:val="32"/>
          <w:szCs w:val="32"/>
        </w:rPr>
        <w:t>预警级别</w:t>
      </w:r>
    </w:p>
    <w:p w14:paraId="79699B83">
      <w:pPr>
        <w:keepNext w:val="0"/>
        <w:keepLines w:val="0"/>
        <w:pageBreakBefore w:val="0"/>
        <w:kinsoku/>
        <w:wordWrap/>
        <w:overflowPunct/>
        <w:topLinePunct w:val="0"/>
        <w:autoSpaceDE/>
        <w:autoSpaceDN/>
        <w:bidi w:val="0"/>
        <w:adjustRightInd/>
        <w:snapToGrid/>
        <w:spacing w:line="60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4.3</w:t>
      </w:r>
      <w:r>
        <w:rPr>
          <w:rFonts w:hint="eastAsia" w:ascii="仿宋_GB2312" w:hAnsi="仿宋_GB2312" w:eastAsia="仿宋_GB2312" w:cs="仿宋_GB2312"/>
          <w:sz w:val="32"/>
          <w:szCs w:val="32"/>
        </w:rPr>
        <w:t>预警行动</w:t>
      </w:r>
    </w:p>
    <w:p w14:paraId="23EDF76A">
      <w:pPr>
        <w:keepNext w:val="0"/>
        <w:keepLines w:val="0"/>
        <w:pageBreakBefore w:val="0"/>
        <w:kinsoku/>
        <w:wordWrap/>
        <w:overflowPunct/>
        <w:topLinePunct w:val="0"/>
        <w:autoSpaceDE/>
        <w:autoSpaceDN/>
        <w:bidi w:val="0"/>
        <w:adjustRightInd/>
        <w:snapToGrid/>
        <w:spacing w:line="600" w:lineRule="exact"/>
        <w:ind w:left="0" w:leftChars="0" w:right="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5.</w:t>
      </w:r>
      <w:r>
        <w:rPr>
          <w:rFonts w:hint="eastAsia" w:ascii="仿宋_GB2312" w:hAnsi="仿宋_GB2312" w:eastAsia="仿宋_GB2312" w:cs="仿宋_GB2312"/>
          <w:sz w:val="32"/>
          <w:szCs w:val="32"/>
        </w:rPr>
        <w:t>应急响应</w:t>
      </w:r>
    </w:p>
    <w:p w14:paraId="57C35B7B">
      <w:pPr>
        <w:keepNext w:val="0"/>
        <w:keepLines w:val="0"/>
        <w:pageBreakBefore w:val="0"/>
        <w:kinsoku/>
        <w:wordWrap/>
        <w:overflowPunct/>
        <w:topLinePunct w:val="0"/>
        <w:autoSpaceDE/>
        <w:autoSpaceDN/>
        <w:bidi w:val="0"/>
        <w:adjustRightInd/>
        <w:snapToGrid/>
        <w:spacing w:line="60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5.1</w:t>
      </w:r>
      <w:r>
        <w:rPr>
          <w:rFonts w:hint="eastAsia" w:ascii="仿宋_GB2312" w:hAnsi="仿宋_GB2312" w:eastAsia="仿宋_GB2312" w:cs="仿宋_GB2312"/>
          <w:sz w:val="32"/>
          <w:szCs w:val="32"/>
        </w:rPr>
        <w:t>信息报告</w:t>
      </w:r>
    </w:p>
    <w:p w14:paraId="28A9B97B">
      <w:pPr>
        <w:keepNext w:val="0"/>
        <w:keepLines w:val="0"/>
        <w:pageBreakBefore w:val="0"/>
        <w:kinsoku/>
        <w:wordWrap/>
        <w:overflowPunct/>
        <w:topLinePunct w:val="0"/>
        <w:autoSpaceDE/>
        <w:autoSpaceDN/>
        <w:bidi w:val="0"/>
        <w:adjustRightInd/>
        <w:snapToGrid/>
        <w:spacing w:line="60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5.2</w:t>
      </w:r>
      <w:r>
        <w:rPr>
          <w:rFonts w:hint="eastAsia" w:ascii="仿宋_GB2312" w:hAnsi="仿宋_GB2312" w:eastAsia="仿宋_GB2312" w:cs="仿宋_GB2312"/>
          <w:sz w:val="32"/>
          <w:szCs w:val="32"/>
        </w:rPr>
        <w:t>先期处置</w:t>
      </w:r>
    </w:p>
    <w:p w14:paraId="76109815">
      <w:pPr>
        <w:keepNext w:val="0"/>
        <w:keepLines w:val="0"/>
        <w:pageBreakBefore w:val="0"/>
        <w:kinsoku/>
        <w:wordWrap/>
        <w:overflowPunct/>
        <w:topLinePunct w:val="0"/>
        <w:autoSpaceDE/>
        <w:autoSpaceDN/>
        <w:bidi w:val="0"/>
        <w:adjustRightInd/>
        <w:snapToGrid/>
        <w:spacing w:line="60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5.3</w:t>
      </w:r>
      <w:r>
        <w:rPr>
          <w:rFonts w:hint="eastAsia" w:ascii="仿宋_GB2312" w:hAnsi="仿宋_GB2312" w:eastAsia="仿宋_GB2312" w:cs="仿宋_GB2312"/>
          <w:sz w:val="32"/>
          <w:szCs w:val="32"/>
        </w:rPr>
        <w:t>分级响应</w:t>
      </w:r>
    </w:p>
    <w:p w14:paraId="04D8342C">
      <w:pPr>
        <w:keepNext w:val="0"/>
        <w:keepLines w:val="0"/>
        <w:pageBreakBefore w:val="0"/>
        <w:kinsoku/>
        <w:wordWrap/>
        <w:overflowPunct/>
        <w:topLinePunct w:val="0"/>
        <w:autoSpaceDE/>
        <w:autoSpaceDN/>
        <w:bidi w:val="0"/>
        <w:adjustRightInd/>
        <w:snapToGrid/>
        <w:spacing w:line="60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5.4</w:t>
      </w:r>
      <w:r>
        <w:rPr>
          <w:rFonts w:hint="eastAsia" w:ascii="仿宋_GB2312" w:hAnsi="仿宋_GB2312" w:eastAsia="仿宋_GB2312" w:cs="仿宋_GB2312"/>
          <w:sz w:val="32"/>
          <w:szCs w:val="32"/>
        </w:rPr>
        <w:t>应急处置</w:t>
      </w:r>
    </w:p>
    <w:p w14:paraId="69BBCDE6">
      <w:pPr>
        <w:keepNext w:val="0"/>
        <w:keepLines w:val="0"/>
        <w:pageBreakBefore w:val="0"/>
        <w:kinsoku/>
        <w:wordWrap/>
        <w:overflowPunct/>
        <w:topLinePunct w:val="0"/>
        <w:autoSpaceDE/>
        <w:autoSpaceDN/>
        <w:bidi w:val="0"/>
        <w:adjustRightInd/>
        <w:snapToGrid/>
        <w:spacing w:line="60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5.5</w:t>
      </w:r>
      <w:r>
        <w:rPr>
          <w:rFonts w:hint="eastAsia" w:ascii="仿宋_GB2312" w:hAnsi="仿宋_GB2312" w:eastAsia="仿宋_GB2312" w:cs="仿宋_GB2312"/>
          <w:sz w:val="32"/>
          <w:szCs w:val="32"/>
        </w:rPr>
        <w:t>人员防护</w:t>
      </w:r>
    </w:p>
    <w:p w14:paraId="001EC367">
      <w:pPr>
        <w:keepNext w:val="0"/>
        <w:keepLines w:val="0"/>
        <w:pageBreakBefore w:val="0"/>
        <w:kinsoku/>
        <w:wordWrap/>
        <w:overflowPunct/>
        <w:topLinePunct w:val="0"/>
        <w:autoSpaceDE/>
        <w:autoSpaceDN/>
        <w:bidi w:val="0"/>
        <w:adjustRightInd/>
        <w:snapToGrid/>
        <w:spacing w:line="60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5.6</w:t>
      </w:r>
      <w:r>
        <w:rPr>
          <w:rFonts w:hint="eastAsia" w:ascii="仿宋_GB2312" w:hAnsi="仿宋_GB2312" w:eastAsia="仿宋_GB2312" w:cs="仿宋_GB2312"/>
          <w:sz w:val="32"/>
          <w:szCs w:val="32"/>
        </w:rPr>
        <w:t>应急终止</w:t>
      </w:r>
    </w:p>
    <w:p w14:paraId="56811F98">
      <w:pPr>
        <w:keepNext w:val="0"/>
        <w:keepLines w:val="0"/>
        <w:pageBreakBefore w:val="0"/>
        <w:kinsoku/>
        <w:wordWrap/>
        <w:overflowPunct/>
        <w:topLinePunct w:val="0"/>
        <w:autoSpaceDE/>
        <w:autoSpaceDN/>
        <w:bidi w:val="0"/>
        <w:adjustRightInd/>
        <w:snapToGrid/>
        <w:spacing w:line="60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5.7</w:t>
      </w:r>
      <w:r>
        <w:rPr>
          <w:rFonts w:hint="eastAsia" w:ascii="仿宋_GB2312" w:hAnsi="仿宋_GB2312" w:eastAsia="仿宋_GB2312" w:cs="仿宋_GB2312"/>
          <w:sz w:val="32"/>
          <w:szCs w:val="32"/>
        </w:rPr>
        <w:t>信息发布</w:t>
      </w:r>
    </w:p>
    <w:p w14:paraId="32828302">
      <w:pPr>
        <w:keepNext w:val="0"/>
        <w:keepLines w:val="0"/>
        <w:pageBreakBefore w:val="0"/>
        <w:kinsoku/>
        <w:wordWrap/>
        <w:overflowPunct/>
        <w:topLinePunct w:val="0"/>
        <w:autoSpaceDE/>
        <w:autoSpaceDN/>
        <w:bidi w:val="0"/>
        <w:adjustRightInd/>
        <w:snapToGrid/>
        <w:spacing w:line="600" w:lineRule="exact"/>
        <w:ind w:left="0" w:leftChars="0" w:right="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6.</w:t>
      </w:r>
      <w:r>
        <w:rPr>
          <w:rFonts w:hint="eastAsia" w:ascii="仿宋_GB2312" w:hAnsi="仿宋_GB2312" w:eastAsia="仿宋_GB2312" w:cs="仿宋_GB2312"/>
          <w:sz w:val="32"/>
          <w:szCs w:val="32"/>
        </w:rPr>
        <w:t>后期处置</w:t>
      </w:r>
    </w:p>
    <w:p w14:paraId="26EA813C">
      <w:pPr>
        <w:keepNext w:val="0"/>
        <w:keepLines w:val="0"/>
        <w:pageBreakBefore w:val="0"/>
        <w:kinsoku/>
        <w:wordWrap/>
        <w:overflowPunct/>
        <w:topLinePunct w:val="0"/>
        <w:autoSpaceDE/>
        <w:autoSpaceDN/>
        <w:bidi w:val="0"/>
        <w:adjustRightInd/>
        <w:snapToGrid/>
        <w:spacing w:line="60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6.1</w:t>
      </w:r>
      <w:r>
        <w:rPr>
          <w:rFonts w:hint="eastAsia" w:ascii="仿宋_GB2312" w:hAnsi="仿宋_GB2312" w:eastAsia="仿宋_GB2312" w:cs="仿宋_GB2312"/>
          <w:sz w:val="32"/>
          <w:szCs w:val="32"/>
        </w:rPr>
        <w:t>善后处置</w:t>
      </w:r>
    </w:p>
    <w:p w14:paraId="5EB66699">
      <w:pPr>
        <w:keepNext w:val="0"/>
        <w:keepLines w:val="0"/>
        <w:pageBreakBefore w:val="0"/>
        <w:kinsoku/>
        <w:wordWrap/>
        <w:overflowPunct/>
        <w:topLinePunct w:val="0"/>
        <w:autoSpaceDE/>
        <w:autoSpaceDN/>
        <w:bidi w:val="0"/>
        <w:adjustRightInd/>
        <w:snapToGrid/>
        <w:spacing w:line="60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6.2</w:t>
      </w:r>
      <w:r>
        <w:rPr>
          <w:rFonts w:hint="eastAsia" w:ascii="仿宋_GB2312" w:hAnsi="仿宋_GB2312" w:eastAsia="仿宋_GB2312" w:cs="仿宋_GB2312"/>
          <w:sz w:val="32"/>
          <w:szCs w:val="32"/>
        </w:rPr>
        <w:t>调查与评估</w:t>
      </w:r>
    </w:p>
    <w:p w14:paraId="5EB0C957">
      <w:pPr>
        <w:keepNext w:val="0"/>
        <w:keepLines w:val="0"/>
        <w:pageBreakBefore w:val="0"/>
        <w:kinsoku/>
        <w:wordWrap/>
        <w:overflowPunct/>
        <w:topLinePunct w:val="0"/>
        <w:autoSpaceDE/>
        <w:autoSpaceDN/>
        <w:bidi w:val="0"/>
        <w:adjustRightInd/>
        <w:snapToGrid/>
        <w:spacing w:line="60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6.3</w:t>
      </w:r>
      <w:r>
        <w:rPr>
          <w:rFonts w:hint="eastAsia" w:ascii="仿宋_GB2312" w:hAnsi="仿宋_GB2312" w:eastAsia="仿宋_GB2312" w:cs="仿宋_GB2312"/>
          <w:sz w:val="32"/>
          <w:szCs w:val="32"/>
        </w:rPr>
        <w:t>保险与救助</w:t>
      </w:r>
    </w:p>
    <w:p w14:paraId="2D01D859">
      <w:pPr>
        <w:keepNext w:val="0"/>
        <w:keepLines w:val="0"/>
        <w:pageBreakBefore w:val="0"/>
        <w:kinsoku/>
        <w:wordWrap/>
        <w:overflowPunct/>
        <w:topLinePunct w:val="0"/>
        <w:autoSpaceDE/>
        <w:autoSpaceDN/>
        <w:bidi w:val="0"/>
        <w:adjustRightInd/>
        <w:snapToGrid/>
        <w:spacing w:line="600" w:lineRule="exact"/>
        <w:ind w:left="0" w:leftChars="0" w:right="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7.</w:t>
      </w:r>
      <w:r>
        <w:rPr>
          <w:rFonts w:hint="eastAsia" w:ascii="仿宋_GB2312" w:hAnsi="仿宋_GB2312" w:eastAsia="仿宋_GB2312" w:cs="仿宋_GB2312"/>
          <w:sz w:val="32"/>
          <w:szCs w:val="32"/>
        </w:rPr>
        <w:t>应急保障</w:t>
      </w:r>
    </w:p>
    <w:p w14:paraId="464D96EA">
      <w:pPr>
        <w:keepNext w:val="0"/>
        <w:keepLines w:val="0"/>
        <w:pageBreakBefore w:val="0"/>
        <w:kinsoku/>
        <w:wordWrap/>
        <w:overflowPunct/>
        <w:topLinePunct w:val="0"/>
        <w:autoSpaceDE/>
        <w:autoSpaceDN/>
        <w:bidi w:val="0"/>
        <w:adjustRightInd/>
        <w:snapToGrid/>
        <w:spacing w:line="60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7.1</w:t>
      </w:r>
      <w:r>
        <w:rPr>
          <w:rFonts w:hint="eastAsia" w:ascii="仿宋_GB2312" w:hAnsi="仿宋_GB2312" w:eastAsia="仿宋_GB2312" w:cs="仿宋_GB2312"/>
          <w:sz w:val="32"/>
          <w:szCs w:val="32"/>
        </w:rPr>
        <w:t>队伍保障</w:t>
      </w:r>
    </w:p>
    <w:p w14:paraId="56E8D0CB">
      <w:pPr>
        <w:keepNext w:val="0"/>
        <w:keepLines w:val="0"/>
        <w:pageBreakBefore w:val="0"/>
        <w:kinsoku/>
        <w:wordWrap/>
        <w:overflowPunct/>
        <w:topLinePunct w:val="0"/>
        <w:autoSpaceDE/>
        <w:autoSpaceDN/>
        <w:bidi w:val="0"/>
        <w:adjustRightInd/>
        <w:snapToGrid/>
        <w:spacing w:line="60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7.2</w:t>
      </w:r>
      <w:r>
        <w:rPr>
          <w:rFonts w:hint="eastAsia" w:ascii="仿宋_GB2312" w:hAnsi="仿宋_GB2312" w:eastAsia="仿宋_GB2312" w:cs="仿宋_GB2312"/>
          <w:sz w:val="32"/>
          <w:szCs w:val="32"/>
        </w:rPr>
        <w:t>装备物资保障</w:t>
      </w:r>
    </w:p>
    <w:p w14:paraId="0F325FB4">
      <w:pPr>
        <w:keepNext w:val="0"/>
        <w:keepLines w:val="0"/>
        <w:pageBreakBefore w:val="0"/>
        <w:kinsoku/>
        <w:wordWrap/>
        <w:overflowPunct/>
        <w:topLinePunct w:val="0"/>
        <w:autoSpaceDE/>
        <w:autoSpaceDN/>
        <w:bidi w:val="0"/>
        <w:adjustRightInd/>
        <w:snapToGrid/>
        <w:spacing w:line="60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7.3</w:t>
      </w:r>
      <w:r>
        <w:rPr>
          <w:rFonts w:hint="eastAsia" w:ascii="仿宋_GB2312" w:hAnsi="仿宋_GB2312" w:eastAsia="仿宋_GB2312" w:cs="仿宋_GB2312"/>
          <w:sz w:val="32"/>
          <w:szCs w:val="32"/>
        </w:rPr>
        <w:t>经费保障</w:t>
      </w:r>
    </w:p>
    <w:p w14:paraId="439B547A">
      <w:pPr>
        <w:keepNext w:val="0"/>
        <w:keepLines w:val="0"/>
        <w:pageBreakBefore w:val="0"/>
        <w:kinsoku/>
        <w:wordWrap/>
        <w:overflowPunct/>
        <w:topLinePunct w:val="0"/>
        <w:autoSpaceDE/>
        <w:autoSpaceDN/>
        <w:bidi w:val="0"/>
        <w:adjustRightInd/>
        <w:snapToGrid/>
        <w:spacing w:line="60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7.4</w:t>
      </w:r>
      <w:r>
        <w:rPr>
          <w:rFonts w:hint="eastAsia" w:ascii="仿宋_GB2312" w:hAnsi="仿宋_GB2312" w:eastAsia="仿宋_GB2312" w:cs="仿宋_GB2312"/>
          <w:sz w:val="32"/>
          <w:szCs w:val="32"/>
        </w:rPr>
        <w:t>其他相关保障</w:t>
      </w:r>
    </w:p>
    <w:p w14:paraId="15CA7BFF">
      <w:pPr>
        <w:keepNext w:val="0"/>
        <w:keepLines w:val="0"/>
        <w:pageBreakBefore w:val="0"/>
        <w:kinsoku/>
        <w:wordWrap/>
        <w:overflowPunct/>
        <w:topLinePunct w:val="0"/>
        <w:autoSpaceDE/>
        <w:autoSpaceDN/>
        <w:bidi w:val="0"/>
        <w:adjustRightInd/>
        <w:snapToGrid/>
        <w:spacing w:line="600" w:lineRule="exact"/>
        <w:ind w:left="0" w:leftChars="0" w:right="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8.</w:t>
      </w:r>
      <w:r>
        <w:rPr>
          <w:rFonts w:hint="eastAsia" w:ascii="仿宋_GB2312" w:hAnsi="仿宋_GB2312" w:eastAsia="仿宋_GB2312" w:cs="仿宋_GB2312"/>
          <w:sz w:val="32"/>
          <w:szCs w:val="32"/>
        </w:rPr>
        <w:t>监督管理</w:t>
      </w:r>
    </w:p>
    <w:p w14:paraId="350A83E8">
      <w:pPr>
        <w:keepNext w:val="0"/>
        <w:keepLines w:val="0"/>
        <w:pageBreakBefore w:val="0"/>
        <w:kinsoku/>
        <w:wordWrap/>
        <w:overflowPunct/>
        <w:topLinePunct w:val="0"/>
        <w:autoSpaceDE/>
        <w:autoSpaceDN/>
        <w:bidi w:val="0"/>
        <w:adjustRightInd/>
        <w:snapToGrid/>
        <w:spacing w:line="60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8.1</w:t>
      </w:r>
      <w:r>
        <w:rPr>
          <w:rFonts w:hint="eastAsia" w:ascii="仿宋_GB2312" w:hAnsi="仿宋_GB2312" w:eastAsia="仿宋_GB2312" w:cs="仿宋_GB2312"/>
          <w:sz w:val="32"/>
          <w:szCs w:val="32"/>
        </w:rPr>
        <w:t>宣传教育</w:t>
      </w:r>
    </w:p>
    <w:p w14:paraId="6BE3C83B">
      <w:pPr>
        <w:keepNext w:val="0"/>
        <w:keepLines w:val="0"/>
        <w:pageBreakBefore w:val="0"/>
        <w:kinsoku/>
        <w:wordWrap/>
        <w:overflowPunct/>
        <w:topLinePunct w:val="0"/>
        <w:autoSpaceDE/>
        <w:autoSpaceDN/>
        <w:bidi w:val="0"/>
        <w:adjustRightInd/>
        <w:snapToGrid/>
        <w:spacing w:line="60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8.2</w:t>
      </w:r>
      <w:r>
        <w:rPr>
          <w:rFonts w:hint="eastAsia" w:ascii="仿宋_GB2312" w:hAnsi="仿宋_GB2312" w:eastAsia="仿宋_GB2312" w:cs="仿宋_GB2312"/>
          <w:sz w:val="32"/>
          <w:szCs w:val="32"/>
        </w:rPr>
        <w:t>培训演练</w:t>
      </w:r>
    </w:p>
    <w:p w14:paraId="68567094">
      <w:pPr>
        <w:keepNext w:val="0"/>
        <w:keepLines w:val="0"/>
        <w:pageBreakBefore w:val="0"/>
        <w:kinsoku/>
        <w:wordWrap/>
        <w:overflowPunct/>
        <w:topLinePunct w:val="0"/>
        <w:autoSpaceDE/>
        <w:autoSpaceDN/>
        <w:bidi w:val="0"/>
        <w:adjustRightInd/>
        <w:snapToGrid/>
        <w:spacing w:line="60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bCs w:val="0"/>
          <w:sz w:val="32"/>
          <w:szCs w:val="32"/>
        </w:rPr>
        <w:t>8.3</w:t>
      </w:r>
      <w:r>
        <w:rPr>
          <w:rFonts w:hint="eastAsia" w:ascii="仿宋_GB2312" w:hAnsi="仿宋_GB2312" w:eastAsia="仿宋_GB2312" w:cs="仿宋_GB2312"/>
          <w:sz w:val="32"/>
          <w:szCs w:val="32"/>
        </w:rPr>
        <w:t>预案管理</w:t>
      </w:r>
    </w:p>
    <w:p w14:paraId="1FC56BE2">
      <w:pPr>
        <w:keepNext w:val="0"/>
        <w:keepLines w:val="0"/>
        <w:pageBreakBefore w:val="0"/>
        <w:kinsoku/>
        <w:wordWrap/>
        <w:overflowPunct/>
        <w:topLinePunct w:val="0"/>
        <w:autoSpaceDE/>
        <w:autoSpaceDN/>
        <w:bidi w:val="0"/>
        <w:adjustRightInd/>
        <w:snapToGrid/>
        <w:spacing w:line="600" w:lineRule="exact"/>
        <w:ind w:left="0" w:leftChars="0" w:right="0"/>
        <w:textAlignment w:val="auto"/>
        <w:rPr>
          <w:rFonts w:hint="eastAsia" w:ascii="仿宋_GB2312" w:hAnsi="仿宋_GB2312" w:eastAsia="仿宋_GB2312" w:cs="仿宋_GB2312"/>
          <w:sz w:val="32"/>
          <w:szCs w:val="32"/>
        </w:rPr>
      </w:pPr>
    </w:p>
    <w:p w14:paraId="382AA655">
      <w:pPr>
        <w:keepNext w:val="0"/>
        <w:keepLines w:val="0"/>
        <w:pageBreakBefore w:val="0"/>
        <w:kinsoku/>
        <w:wordWrap/>
        <w:overflowPunct/>
        <w:topLinePunct w:val="0"/>
        <w:autoSpaceDE/>
        <w:autoSpaceDN/>
        <w:bidi w:val="0"/>
        <w:adjustRightInd/>
        <w:snapToGrid/>
        <w:spacing w:line="600" w:lineRule="exact"/>
        <w:ind w:left="0" w:leftChars="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Times New Roman" w:hAnsi="Times New Roman" w:eastAsia="仿宋_GB2312" w:cs="Times New Roman"/>
          <w:b w:val="0"/>
          <w:bCs w:val="0"/>
          <w:sz w:val="32"/>
          <w:szCs w:val="32"/>
        </w:rPr>
        <w:t>1:</w:t>
      </w:r>
      <w:r>
        <w:rPr>
          <w:rFonts w:hint="eastAsia" w:ascii="Times New Roman" w:hAnsi="Times New Roman" w:eastAsia="仿宋_GB2312" w:cs="Times New Roman"/>
          <w:b w:val="0"/>
          <w:bCs w:val="0"/>
          <w:sz w:val="32"/>
          <w:szCs w:val="32"/>
          <w:lang w:val="en-US" w:eastAsia="zh-CN"/>
        </w:rPr>
        <w:t xml:space="preserve"> </w:t>
      </w:r>
      <w:r>
        <w:rPr>
          <w:rFonts w:hint="eastAsia" w:ascii="仿宋_GB2312" w:hAnsi="仿宋_GB2312" w:eastAsia="仿宋_GB2312" w:cs="仿宋_GB2312"/>
          <w:sz w:val="32"/>
          <w:szCs w:val="32"/>
        </w:rPr>
        <w:t>相关单位及职责</w:t>
      </w:r>
    </w:p>
    <w:p w14:paraId="1BE22ED9">
      <w:pPr>
        <w:keepNext w:val="0"/>
        <w:keepLines w:val="0"/>
        <w:pageBreakBefore w:val="0"/>
        <w:kinsoku/>
        <w:wordWrap/>
        <w:overflowPunct/>
        <w:topLinePunct w:val="0"/>
        <w:autoSpaceDE/>
        <w:autoSpaceDN/>
        <w:bidi w:val="0"/>
        <w:adjustRightInd/>
        <w:snapToGrid/>
        <w:spacing w:line="600" w:lineRule="exact"/>
        <w:ind w:left="0" w:leftChars="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Times New Roman" w:hAnsi="Times New Roman" w:eastAsia="仿宋_GB2312" w:cs="Times New Roman"/>
          <w:b w:val="0"/>
          <w:bCs w:val="0"/>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地下空间突发事件应急处置流程图</w:t>
      </w:r>
      <w:r>
        <w:rPr>
          <w:rFonts w:hint="eastAsia" w:ascii="仿宋_GB2312" w:hAnsi="仿宋_GB2312" w:eastAsia="仿宋_GB2312" w:cs="仿宋_GB2312"/>
          <w:sz w:val="32"/>
          <w:szCs w:val="32"/>
        </w:rPr>
        <w:br w:type="page"/>
      </w:r>
    </w:p>
    <w:p w14:paraId="320DD142">
      <w:pPr>
        <w:keepNext w:val="0"/>
        <w:keepLines w:val="0"/>
        <w:pageBreakBefore w:val="0"/>
        <w:kinsoku/>
        <w:wordWrap/>
        <w:overflowPunct/>
        <w:topLinePunct w:val="0"/>
        <w:autoSpaceDE/>
        <w:autoSpaceDN/>
        <w:bidi w:val="0"/>
        <w:adjustRightInd/>
        <w:snapToGrid/>
        <w:spacing w:line="600" w:lineRule="exact"/>
        <w:ind w:firstLine="596" w:firstLineChars="200"/>
        <w:textAlignment w:val="auto"/>
        <w:outlineLvl w:val="0"/>
        <w:rPr>
          <w:rFonts w:hint="eastAsia" w:ascii="黑体" w:hAnsi="黑体" w:eastAsia="黑体" w:cs="黑体"/>
          <w:b w:val="0"/>
          <w:bCs w:val="0"/>
          <w:sz w:val="32"/>
          <w:szCs w:val="32"/>
          <w:lang w:eastAsia="zh-CN"/>
        </w:rPr>
      </w:pPr>
      <w:r>
        <w:rPr>
          <w:rFonts w:hint="eastAsia" w:ascii="黑体" w:hAnsi="黑体" w:eastAsia="黑体" w:cs="黑体"/>
          <w:b w:val="0"/>
          <w:bCs w:val="0"/>
          <w:spacing w:val="-11"/>
          <w:sz w:val="32"/>
          <w:szCs w:val="32"/>
          <w:lang w:eastAsia="zh-CN"/>
        </w:rPr>
        <w:t>1.总则</w:t>
      </w:r>
    </w:p>
    <w:p w14:paraId="5721B0BC">
      <w:pPr>
        <w:keepNext w:val="0"/>
        <w:keepLines w:val="0"/>
        <w:pageBreakBefore w:val="0"/>
        <w:kinsoku/>
        <w:wordWrap/>
        <w:overflowPunct/>
        <w:topLinePunct w:val="0"/>
        <w:autoSpaceDE/>
        <w:autoSpaceDN/>
        <w:bidi w:val="0"/>
        <w:adjustRightInd/>
        <w:snapToGrid/>
        <w:spacing w:line="600" w:lineRule="exact"/>
        <w:ind w:firstLine="663" w:firstLineChars="200"/>
        <w:textAlignment w:val="auto"/>
        <w:outlineLvl w:val="0"/>
        <w:rPr>
          <w:rFonts w:hint="eastAsia" w:ascii="楷体" w:hAnsi="楷体" w:eastAsia="楷体" w:cs="楷体"/>
          <w:b/>
          <w:bCs w:val="0"/>
          <w:spacing w:val="5"/>
          <w:sz w:val="32"/>
          <w:szCs w:val="32"/>
          <w:lang w:eastAsia="zh-CN"/>
        </w:rPr>
      </w:pPr>
      <w:r>
        <w:rPr>
          <w:rFonts w:hint="eastAsia" w:ascii="楷体" w:hAnsi="楷体" w:eastAsia="楷体" w:cs="楷体"/>
          <w:b/>
          <w:bCs w:val="0"/>
          <w:spacing w:val="5"/>
          <w:sz w:val="32"/>
          <w:szCs w:val="32"/>
          <w:lang w:eastAsia="zh-CN"/>
        </w:rPr>
        <w:t>1.1编制目的</w:t>
      </w:r>
    </w:p>
    <w:p w14:paraId="4285FB62">
      <w:pPr>
        <w:keepNext w:val="0"/>
        <w:keepLines w:val="0"/>
        <w:pageBreakBefore w:val="0"/>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lang w:eastAsia="zh-CN"/>
        </w:rPr>
        <w:t>为贯彻落实习近平新时代中国特色社会主义思想，适应本镇</w:t>
      </w:r>
      <w:r>
        <w:rPr>
          <w:rFonts w:hint="eastAsia" w:ascii="仿宋_GB2312" w:hAnsi="仿宋_GB2312" w:eastAsia="仿宋_GB2312" w:cs="仿宋_GB2312"/>
          <w:spacing w:val="-5"/>
          <w:sz w:val="32"/>
          <w:szCs w:val="32"/>
          <w:lang w:eastAsia="zh-CN"/>
        </w:rPr>
        <w:t>特点和未来发展需要，有效预防、及时应对街镇地下空间突发事件，建立健全浦东新区地下空间应急处置指挥体系、保障体系、防范体系，规范地下空间突发事件应急处置程序，提高</w:t>
      </w:r>
      <w:r>
        <w:rPr>
          <w:rFonts w:hint="eastAsia" w:ascii="仿宋_GB2312" w:hAnsi="仿宋_GB2312" w:eastAsia="仿宋_GB2312" w:cs="仿宋_GB2312"/>
          <w:spacing w:val="-4"/>
          <w:sz w:val="32"/>
          <w:szCs w:val="32"/>
          <w:lang w:eastAsia="zh-CN"/>
        </w:rPr>
        <w:t>地下空间安全使用管理水平和抗风险能力，保障人民群众生命财</w:t>
      </w:r>
      <w:r>
        <w:rPr>
          <w:rFonts w:hint="eastAsia" w:ascii="仿宋_GB2312" w:hAnsi="仿宋_GB2312" w:eastAsia="仿宋_GB2312" w:cs="仿宋_GB2312"/>
          <w:spacing w:val="-2"/>
          <w:sz w:val="32"/>
          <w:szCs w:val="32"/>
          <w:lang w:eastAsia="zh-CN"/>
        </w:rPr>
        <w:t>产安全，维护城市安全运行和社会稳定，编制本预案。</w:t>
      </w:r>
    </w:p>
    <w:p w14:paraId="2909A556">
      <w:pPr>
        <w:keepNext w:val="0"/>
        <w:keepLines w:val="0"/>
        <w:pageBreakBefore w:val="0"/>
        <w:kinsoku/>
        <w:wordWrap/>
        <w:overflowPunct/>
        <w:topLinePunct w:val="0"/>
        <w:autoSpaceDE/>
        <w:autoSpaceDN/>
        <w:bidi w:val="0"/>
        <w:adjustRightInd/>
        <w:snapToGrid/>
        <w:spacing w:line="600" w:lineRule="exact"/>
        <w:ind w:firstLine="663" w:firstLineChars="200"/>
        <w:textAlignment w:val="auto"/>
        <w:outlineLvl w:val="0"/>
        <w:rPr>
          <w:rFonts w:hint="eastAsia" w:ascii="楷体" w:hAnsi="楷体" w:eastAsia="楷体" w:cs="楷体"/>
          <w:b/>
          <w:bCs w:val="0"/>
          <w:spacing w:val="5"/>
          <w:sz w:val="32"/>
          <w:szCs w:val="32"/>
          <w:lang w:eastAsia="zh-CN"/>
        </w:rPr>
      </w:pPr>
      <w:r>
        <w:rPr>
          <w:rFonts w:hint="eastAsia" w:ascii="楷体" w:hAnsi="楷体" w:eastAsia="楷体" w:cs="楷体"/>
          <w:b/>
          <w:bCs w:val="0"/>
          <w:spacing w:val="5"/>
          <w:sz w:val="32"/>
          <w:szCs w:val="32"/>
          <w:lang w:eastAsia="zh-CN"/>
        </w:rPr>
        <w:t>1.2编制依据</w:t>
      </w:r>
    </w:p>
    <w:p w14:paraId="721899B3">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根据《生产安全事故报告和调查处理条例》《上海市地下空间安全使用管理办法》《上海市地下空间安全使用监督检查管理规定》《上海市地下空间突发事件应急预案》《浦东新区突发事件总体应急预案》《浦东新区处置地下空间突发事件专项应急预案》并结合书院镇实际，编制本预案。</w:t>
      </w:r>
    </w:p>
    <w:p w14:paraId="34CD507A">
      <w:pPr>
        <w:keepNext w:val="0"/>
        <w:keepLines w:val="0"/>
        <w:pageBreakBefore w:val="0"/>
        <w:kinsoku/>
        <w:wordWrap/>
        <w:overflowPunct/>
        <w:topLinePunct w:val="0"/>
        <w:autoSpaceDE/>
        <w:autoSpaceDN/>
        <w:bidi w:val="0"/>
        <w:adjustRightInd/>
        <w:snapToGrid/>
        <w:spacing w:line="600" w:lineRule="exact"/>
        <w:ind w:firstLine="663" w:firstLineChars="200"/>
        <w:textAlignment w:val="auto"/>
        <w:outlineLvl w:val="0"/>
        <w:rPr>
          <w:rFonts w:hint="eastAsia" w:ascii="楷体" w:hAnsi="楷体" w:eastAsia="楷体" w:cs="楷体"/>
          <w:b/>
          <w:bCs w:val="0"/>
          <w:spacing w:val="5"/>
          <w:sz w:val="32"/>
          <w:szCs w:val="32"/>
          <w:lang w:eastAsia="zh-CN"/>
        </w:rPr>
      </w:pPr>
      <w:r>
        <w:rPr>
          <w:rFonts w:hint="eastAsia" w:ascii="楷体" w:hAnsi="楷体" w:eastAsia="楷体" w:cs="楷体"/>
          <w:b/>
          <w:bCs w:val="0"/>
          <w:spacing w:val="5"/>
          <w:sz w:val="32"/>
          <w:szCs w:val="32"/>
          <w:lang w:eastAsia="zh-CN"/>
        </w:rPr>
        <w:t>1.3适用范围</w:t>
      </w:r>
    </w:p>
    <w:p w14:paraId="43953A40">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本预案适用于书院镇地下空间突发事件的防范与处置。</w:t>
      </w:r>
    </w:p>
    <w:p w14:paraId="4EE89299">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5"/>
          <w:sz w:val="32"/>
          <w:szCs w:val="32"/>
          <w:lang w:eastAsia="zh-CN"/>
        </w:rPr>
        <w:t>地下空间包括民防工程、普通地下室和轨道交通地下车站。其</w:t>
      </w:r>
      <w:r>
        <w:rPr>
          <w:rFonts w:hint="eastAsia" w:ascii="仿宋_GB2312" w:hAnsi="仿宋_GB2312" w:eastAsia="仿宋_GB2312" w:cs="仿宋_GB2312"/>
          <w:spacing w:val="-4"/>
          <w:sz w:val="32"/>
          <w:szCs w:val="32"/>
          <w:lang w:eastAsia="zh-CN"/>
        </w:rPr>
        <w:t>中，民防工程仅指人民防空工程，包括为保障战时人员与物资</w:t>
      </w:r>
      <w:r>
        <w:rPr>
          <w:rFonts w:hint="eastAsia" w:ascii="仿宋_GB2312" w:hAnsi="仿宋_GB2312" w:eastAsia="仿宋_GB2312" w:cs="仿宋_GB2312"/>
          <w:spacing w:val="-5"/>
          <w:sz w:val="32"/>
          <w:szCs w:val="32"/>
          <w:lang w:eastAsia="zh-CN"/>
        </w:rPr>
        <w:t>掩蔽、防空指挥、医疗救护等而单独修建的地下防护建筑，以及结合地面建筑修建的战时可用于防空的地下室；普通地下室是指结合地面建筑修建或者单独修建的，未达到人民防空工程防</w:t>
      </w:r>
      <w:r>
        <w:rPr>
          <w:rFonts w:hint="eastAsia" w:ascii="仿宋_GB2312" w:hAnsi="仿宋_GB2312" w:eastAsia="仿宋_GB2312" w:cs="仿宋_GB2312"/>
          <w:spacing w:val="-6"/>
          <w:sz w:val="32"/>
          <w:szCs w:val="32"/>
          <w:lang w:eastAsia="zh-CN"/>
        </w:rPr>
        <w:t>护标</w:t>
      </w:r>
      <w:r>
        <w:rPr>
          <w:rFonts w:hint="eastAsia" w:ascii="仿宋_GB2312" w:hAnsi="仿宋_GB2312" w:eastAsia="仿宋_GB2312" w:cs="仿宋_GB2312"/>
          <w:spacing w:val="-5"/>
          <w:sz w:val="32"/>
          <w:szCs w:val="32"/>
          <w:lang w:eastAsia="zh-CN"/>
        </w:rPr>
        <w:t>准的地下建筑。</w:t>
      </w:r>
    </w:p>
    <w:p w14:paraId="4B4CE042">
      <w:pPr>
        <w:keepNext w:val="0"/>
        <w:keepLines w:val="0"/>
        <w:pageBreakBefore w:val="0"/>
        <w:kinsoku/>
        <w:wordWrap/>
        <w:overflowPunct/>
        <w:topLinePunct w:val="0"/>
        <w:autoSpaceDE/>
        <w:autoSpaceDN/>
        <w:bidi w:val="0"/>
        <w:adjustRightInd/>
        <w:snapToGrid/>
        <w:spacing w:line="600" w:lineRule="exact"/>
        <w:ind w:firstLine="663" w:firstLineChars="200"/>
        <w:textAlignment w:val="auto"/>
        <w:outlineLvl w:val="0"/>
        <w:rPr>
          <w:rFonts w:hint="eastAsia" w:ascii="楷体" w:hAnsi="楷体" w:eastAsia="楷体" w:cs="楷体"/>
          <w:b/>
          <w:bCs w:val="0"/>
          <w:spacing w:val="5"/>
          <w:sz w:val="32"/>
          <w:szCs w:val="32"/>
          <w:lang w:eastAsia="zh-CN"/>
        </w:rPr>
      </w:pPr>
      <w:r>
        <w:rPr>
          <w:rFonts w:hint="eastAsia" w:ascii="楷体" w:hAnsi="楷体" w:eastAsia="楷体" w:cs="楷体"/>
          <w:b/>
          <w:bCs w:val="0"/>
          <w:spacing w:val="5"/>
          <w:sz w:val="32"/>
          <w:szCs w:val="32"/>
          <w:lang w:eastAsia="zh-CN"/>
        </w:rPr>
        <w:t>1.4事件分级</w:t>
      </w:r>
    </w:p>
    <w:p w14:paraId="5F44144C">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地下空间突发事件不单独设立分级标准，具体的分级标准，按照《浦东新区突发事件专项应急预案》执行。</w:t>
      </w:r>
    </w:p>
    <w:p w14:paraId="51CB9D05">
      <w:pPr>
        <w:keepNext w:val="0"/>
        <w:keepLines w:val="0"/>
        <w:pageBreakBefore w:val="0"/>
        <w:kinsoku/>
        <w:wordWrap/>
        <w:overflowPunct/>
        <w:topLinePunct w:val="0"/>
        <w:autoSpaceDE/>
        <w:autoSpaceDN/>
        <w:bidi w:val="0"/>
        <w:adjustRightInd/>
        <w:snapToGrid/>
        <w:spacing w:line="600" w:lineRule="exact"/>
        <w:ind w:firstLine="663" w:firstLineChars="200"/>
        <w:textAlignment w:val="auto"/>
        <w:outlineLvl w:val="0"/>
        <w:rPr>
          <w:rFonts w:hint="eastAsia" w:ascii="楷体" w:hAnsi="楷体" w:eastAsia="楷体" w:cs="楷体"/>
          <w:b/>
          <w:bCs w:val="0"/>
          <w:spacing w:val="5"/>
          <w:sz w:val="32"/>
          <w:szCs w:val="32"/>
          <w:lang w:eastAsia="zh-CN"/>
        </w:rPr>
      </w:pPr>
      <w:r>
        <w:rPr>
          <w:rFonts w:hint="eastAsia" w:ascii="楷体" w:hAnsi="楷体" w:eastAsia="楷体" w:cs="楷体"/>
          <w:b/>
          <w:bCs w:val="0"/>
          <w:spacing w:val="5"/>
          <w:sz w:val="32"/>
          <w:szCs w:val="32"/>
          <w:lang w:eastAsia="zh-CN"/>
        </w:rPr>
        <w:t>1.5工作原则</w:t>
      </w:r>
    </w:p>
    <w:p w14:paraId="0B53BADC">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人民至上、生命至上；统一领导、多方联动；分类分级、属地为主；科技赋能、高效处置。</w:t>
      </w:r>
    </w:p>
    <w:p w14:paraId="26344EEF">
      <w:pPr>
        <w:keepNext w:val="0"/>
        <w:keepLines w:val="0"/>
        <w:pageBreakBefore w:val="0"/>
        <w:kinsoku/>
        <w:wordWrap/>
        <w:overflowPunct/>
        <w:topLinePunct w:val="0"/>
        <w:autoSpaceDE/>
        <w:autoSpaceDN/>
        <w:bidi w:val="0"/>
        <w:adjustRightInd/>
        <w:snapToGrid/>
        <w:spacing w:line="600" w:lineRule="exact"/>
        <w:ind w:firstLine="663" w:firstLineChars="200"/>
        <w:textAlignment w:val="auto"/>
        <w:outlineLvl w:val="0"/>
        <w:rPr>
          <w:rFonts w:hint="eastAsia" w:ascii="楷体" w:hAnsi="楷体" w:eastAsia="楷体" w:cs="楷体"/>
          <w:b/>
          <w:bCs w:val="0"/>
          <w:spacing w:val="5"/>
          <w:sz w:val="32"/>
          <w:szCs w:val="32"/>
          <w:lang w:eastAsia="zh-CN"/>
        </w:rPr>
      </w:pPr>
      <w:r>
        <w:rPr>
          <w:rFonts w:hint="eastAsia" w:ascii="楷体" w:hAnsi="楷体" w:eastAsia="楷体" w:cs="楷体"/>
          <w:b/>
          <w:bCs w:val="0"/>
          <w:spacing w:val="5"/>
          <w:sz w:val="32"/>
          <w:szCs w:val="32"/>
          <w:lang w:eastAsia="zh-CN"/>
        </w:rPr>
        <w:t>1.6预案体系</w:t>
      </w:r>
    </w:p>
    <w:p w14:paraId="3FC4E577">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本预案纳入《浦东新区处置突发事件专项应急预案》管理。</w:t>
      </w:r>
    </w:p>
    <w:p w14:paraId="7FA3DA5F">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1.6.1《书院镇处置地下空间突发事件专项应急预案》(以下简称“《书院镇地下空间应急预案》”)是根据《上海市地下空间突发事件应急预案》、《浦东新区突发事件总体应急预案》和《浦东新区地下空间突突发事件专项应急预案》基础上编制和修订的，指导各地下空间产权人、物业 管理单位、使用单位编制相应突发事件应急预案、处置规程的规范性文件。</w:t>
      </w:r>
    </w:p>
    <w:p w14:paraId="4BFD6E0A">
      <w:pPr>
        <w:keepNext w:val="0"/>
        <w:keepLines w:val="0"/>
        <w:pageBreakBefore w:val="0"/>
        <w:kinsoku/>
        <w:wordWrap/>
        <w:overflowPunct/>
        <w:topLinePunct w:val="0"/>
        <w:autoSpaceDE/>
        <w:autoSpaceDN/>
        <w:bidi w:val="0"/>
        <w:adjustRightInd/>
        <w:snapToGrid/>
        <w:spacing w:line="600" w:lineRule="exact"/>
        <w:ind w:firstLine="596" w:firstLineChars="200"/>
        <w:textAlignment w:val="auto"/>
        <w:outlineLvl w:val="0"/>
        <w:rPr>
          <w:rFonts w:hint="eastAsia" w:ascii="黑体" w:hAnsi="黑体" w:eastAsia="黑体" w:cs="黑体"/>
          <w:b w:val="0"/>
          <w:bCs w:val="0"/>
          <w:spacing w:val="-11"/>
          <w:sz w:val="32"/>
          <w:szCs w:val="32"/>
          <w:lang w:eastAsia="zh-CN"/>
        </w:rPr>
      </w:pPr>
      <w:r>
        <w:rPr>
          <w:rFonts w:hint="eastAsia" w:ascii="黑体" w:hAnsi="黑体" w:eastAsia="黑体" w:cs="黑体"/>
          <w:b w:val="0"/>
          <w:bCs w:val="0"/>
          <w:spacing w:val="-11"/>
          <w:sz w:val="32"/>
          <w:szCs w:val="32"/>
          <w:lang w:eastAsia="zh-CN"/>
        </w:rPr>
        <w:t>2.组织体系</w:t>
      </w:r>
    </w:p>
    <w:p w14:paraId="54735577">
      <w:pPr>
        <w:keepNext w:val="0"/>
        <w:keepLines w:val="0"/>
        <w:pageBreakBefore w:val="0"/>
        <w:kinsoku/>
        <w:wordWrap/>
        <w:overflowPunct/>
        <w:topLinePunct w:val="0"/>
        <w:autoSpaceDE/>
        <w:autoSpaceDN/>
        <w:bidi w:val="0"/>
        <w:adjustRightInd/>
        <w:snapToGrid/>
        <w:spacing w:line="600" w:lineRule="exact"/>
        <w:ind w:firstLine="663" w:firstLineChars="200"/>
        <w:textAlignment w:val="auto"/>
        <w:outlineLvl w:val="0"/>
        <w:rPr>
          <w:rFonts w:hint="eastAsia" w:ascii="楷体" w:hAnsi="楷体" w:eastAsia="楷体" w:cs="楷体"/>
          <w:b/>
          <w:bCs w:val="0"/>
          <w:spacing w:val="5"/>
          <w:sz w:val="32"/>
          <w:szCs w:val="32"/>
          <w:lang w:eastAsia="zh-CN"/>
        </w:rPr>
      </w:pPr>
      <w:r>
        <w:rPr>
          <w:rFonts w:hint="eastAsia" w:ascii="楷体" w:hAnsi="楷体" w:eastAsia="楷体" w:cs="楷体"/>
          <w:b/>
          <w:bCs w:val="0"/>
          <w:spacing w:val="5"/>
          <w:sz w:val="32"/>
          <w:szCs w:val="32"/>
          <w:lang w:eastAsia="zh-CN"/>
        </w:rPr>
        <w:t>2.1领导机构</w:t>
      </w:r>
    </w:p>
    <w:p w14:paraId="67A29C48">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 w:hAnsi="仿宋" w:eastAsia="仿宋" w:cs="仿宋"/>
          <w:spacing w:val="-5"/>
          <w:sz w:val="32"/>
          <w:szCs w:val="32"/>
          <w:lang w:eastAsia="zh-CN"/>
        </w:rPr>
        <w:t>2.1.1</w:t>
      </w:r>
      <w:r>
        <w:rPr>
          <w:rFonts w:hint="eastAsia" w:ascii="仿宋_GB2312" w:hAnsi="仿宋_GB2312" w:eastAsia="仿宋_GB2312" w:cs="仿宋_GB2312"/>
          <w:spacing w:val="-5"/>
          <w:sz w:val="32"/>
          <w:szCs w:val="32"/>
          <w:lang w:eastAsia="zh-CN"/>
        </w:rPr>
        <w:t>根据《浦东新区处置突发事件专项应急预案》文件精神，书院镇建立书院镇地下空间安全管理联席办制度（以下称“联席办”）。由书院镇党委副书记、镇长任总召集人，分管领导为副总召集人，各相关职能部门为成员单位。成员单位由党群办(宣统和组织)、规建办、精细办、经发办、社工办、平安办、武装部、城建中心、城运中心、城管中队、派出所、市场监管所、财政所、消防救援支队和相关居委。主要是负责社区地下空间重大问题的议事和决策; 定期分析社区地下空间安全使用管理安全形势;组织区域行政执法力量，定期联合检查;协调处置区域内地下空间公共应急事件; 研究布置落实地下空间安全管理工作等。</w:t>
      </w:r>
    </w:p>
    <w:p w14:paraId="64525F21">
      <w:pPr>
        <w:keepNext w:val="0"/>
        <w:keepLines w:val="0"/>
        <w:pageBreakBefore w:val="0"/>
        <w:kinsoku/>
        <w:wordWrap/>
        <w:overflowPunct/>
        <w:topLinePunct w:val="0"/>
        <w:autoSpaceDE/>
        <w:autoSpaceDN/>
        <w:bidi w:val="0"/>
        <w:adjustRightInd/>
        <w:snapToGrid/>
        <w:spacing w:line="600" w:lineRule="exact"/>
        <w:ind w:firstLine="663" w:firstLineChars="200"/>
        <w:textAlignment w:val="auto"/>
        <w:outlineLvl w:val="0"/>
        <w:rPr>
          <w:rFonts w:hint="eastAsia" w:ascii="楷体" w:hAnsi="楷体" w:eastAsia="楷体" w:cs="楷体"/>
          <w:b/>
          <w:bCs w:val="0"/>
          <w:spacing w:val="5"/>
          <w:sz w:val="32"/>
          <w:szCs w:val="32"/>
          <w:lang w:eastAsia="zh-CN"/>
        </w:rPr>
      </w:pPr>
      <w:r>
        <w:rPr>
          <w:rFonts w:hint="eastAsia" w:ascii="楷体" w:hAnsi="楷体" w:eastAsia="楷体" w:cs="楷体"/>
          <w:b/>
          <w:bCs w:val="0"/>
          <w:spacing w:val="5"/>
          <w:sz w:val="32"/>
          <w:szCs w:val="32"/>
          <w:lang w:eastAsia="zh-CN"/>
        </w:rPr>
        <w:t>2.2应急联动机构</w:t>
      </w:r>
    </w:p>
    <w:p w14:paraId="4718612F">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浦东新区应急管理综合信息平台（书院镇）作为书院镇突发事件应急联动处置的指挥平台，履行应急联动处置一般突发事件、组织联动单位对较大及以上突发事件进行先期处置等职责，协助相关部门或者应急指挥部实施后续处置，组织全镇应急联动工作。各联动单位在各自职责范围内，负责突发事件应急联动处置工作。</w:t>
      </w:r>
    </w:p>
    <w:p w14:paraId="0D552D02">
      <w:pPr>
        <w:keepNext w:val="0"/>
        <w:keepLines w:val="0"/>
        <w:pageBreakBefore w:val="0"/>
        <w:kinsoku/>
        <w:wordWrap/>
        <w:overflowPunct/>
        <w:topLinePunct w:val="0"/>
        <w:autoSpaceDE/>
        <w:autoSpaceDN/>
        <w:bidi w:val="0"/>
        <w:adjustRightInd/>
        <w:snapToGrid/>
        <w:spacing w:line="600" w:lineRule="exact"/>
        <w:ind w:firstLine="663" w:firstLineChars="200"/>
        <w:textAlignment w:val="auto"/>
        <w:outlineLvl w:val="0"/>
        <w:rPr>
          <w:rFonts w:hint="eastAsia" w:ascii="楷体" w:hAnsi="楷体" w:eastAsia="楷体" w:cs="楷体"/>
          <w:b/>
          <w:bCs w:val="0"/>
          <w:spacing w:val="5"/>
          <w:sz w:val="32"/>
          <w:szCs w:val="32"/>
          <w:lang w:eastAsia="zh-CN"/>
        </w:rPr>
      </w:pPr>
      <w:r>
        <w:rPr>
          <w:rFonts w:hint="eastAsia" w:ascii="楷体" w:hAnsi="楷体" w:eastAsia="楷体" w:cs="楷体"/>
          <w:b/>
          <w:bCs w:val="0"/>
          <w:spacing w:val="5"/>
          <w:sz w:val="32"/>
          <w:szCs w:val="32"/>
          <w:lang w:eastAsia="zh-CN"/>
        </w:rPr>
        <w:t>2.3指挥机构</w:t>
      </w:r>
    </w:p>
    <w:p w14:paraId="17AC4C8B">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地下空间一旦发生突发事件，书院镇根据区联席办的建议和应急管理局应急处置的需要，视情成立地下空间突发事件应急处置指挥部。指挥长由书院镇联席办召集人担任或由召集人指定其他领导担任，成员由书院镇联席办成员单位的分管领导组成。指挥部开设，位置根据处置情况需要确定。书院镇地下空间内一旦突发特别重大、重大事件时，在上级部门开设应急处置指挥部后，书院镇地下空间突发事件应急处置指挥部自动转为现场应急处置指挥部，同一时间书院镇行动结束，在报请区政府批准后，上述应急处置指挥部解散，转入常态管理。</w:t>
      </w:r>
    </w:p>
    <w:p w14:paraId="4801276B">
      <w:pPr>
        <w:keepNext w:val="0"/>
        <w:keepLines w:val="0"/>
        <w:pageBreakBefore w:val="0"/>
        <w:kinsoku/>
        <w:wordWrap/>
        <w:overflowPunct/>
        <w:topLinePunct w:val="0"/>
        <w:autoSpaceDE/>
        <w:autoSpaceDN/>
        <w:bidi w:val="0"/>
        <w:adjustRightInd/>
        <w:snapToGrid/>
        <w:spacing w:line="600" w:lineRule="exact"/>
        <w:ind w:firstLine="663" w:firstLineChars="200"/>
        <w:textAlignment w:val="auto"/>
        <w:outlineLvl w:val="0"/>
        <w:rPr>
          <w:rFonts w:hint="eastAsia" w:ascii="楷体" w:hAnsi="楷体" w:eastAsia="楷体" w:cstheme="minorHAnsi"/>
          <w:b/>
          <w:spacing w:val="5"/>
          <w:sz w:val="32"/>
          <w:szCs w:val="32"/>
          <w:lang w:eastAsia="zh-CN"/>
        </w:rPr>
      </w:pPr>
      <w:r>
        <w:rPr>
          <w:rFonts w:hint="eastAsia" w:ascii="楷体" w:hAnsi="楷体" w:eastAsia="楷体" w:cs="楷体"/>
          <w:b/>
          <w:bCs w:val="0"/>
          <w:spacing w:val="5"/>
          <w:sz w:val="32"/>
          <w:szCs w:val="32"/>
          <w:lang w:eastAsia="zh-CN"/>
        </w:rPr>
        <w:t>2.4 工作机构</w:t>
      </w:r>
    </w:p>
    <w:p w14:paraId="6F52132D">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 w:hAnsi="仿宋" w:eastAsia="仿宋" w:cs="仿宋"/>
          <w:spacing w:val="-5"/>
          <w:sz w:val="32"/>
          <w:szCs w:val="32"/>
          <w:lang w:eastAsia="zh-CN"/>
        </w:rPr>
        <w:t>2.4.1</w:t>
      </w:r>
      <w:r>
        <w:rPr>
          <w:rFonts w:hint="eastAsia" w:ascii="仿宋_GB2312" w:hAnsi="仿宋_GB2312" w:eastAsia="仿宋_GB2312" w:cs="仿宋_GB2312"/>
          <w:spacing w:val="-5"/>
          <w:sz w:val="32"/>
          <w:szCs w:val="32"/>
          <w:lang w:eastAsia="zh-CN"/>
        </w:rPr>
        <w:t>联席办是书院镇地下空间安全使用管理工作的日常办事机构，负责协调书院镇地下空间突发事件应急管理工作，其主要职责如下：</w:t>
      </w:r>
    </w:p>
    <w:p w14:paraId="3AB6A759">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 w:hAnsi="仿宋" w:eastAsia="仿宋" w:cs="仿宋"/>
          <w:spacing w:val="-5"/>
          <w:sz w:val="32"/>
          <w:szCs w:val="32"/>
          <w:lang w:eastAsia="zh-CN"/>
        </w:rPr>
        <w:t>(1)</w:t>
      </w:r>
      <w:r>
        <w:rPr>
          <w:rFonts w:hint="eastAsia" w:ascii="仿宋_GB2312" w:hAnsi="仿宋_GB2312" w:eastAsia="仿宋_GB2312" w:cs="仿宋_GB2312"/>
          <w:spacing w:val="-5"/>
          <w:sz w:val="32"/>
          <w:szCs w:val="32"/>
          <w:lang w:eastAsia="zh-CN"/>
        </w:rPr>
        <w:t>协调、推进书院镇地下空间应急体系建设。</w:t>
      </w:r>
    </w:p>
    <w:p w14:paraId="0C3EE0DE">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 w:hAnsi="仿宋" w:eastAsia="仿宋" w:cs="仿宋"/>
          <w:spacing w:val="-5"/>
          <w:sz w:val="32"/>
          <w:szCs w:val="32"/>
          <w:lang w:eastAsia="zh-CN"/>
        </w:rPr>
        <w:t>(2)</w:t>
      </w:r>
      <w:r>
        <w:rPr>
          <w:rFonts w:hint="eastAsia" w:ascii="仿宋_GB2312" w:hAnsi="仿宋_GB2312" w:eastAsia="仿宋_GB2312" w:cs="仿宋_GB2312"/>
          <w:spacing w:val="-5"/>
          <w:sz w:val="32"/>
          <w:szCs w:val="32"/>
          <w:lang w:eastAsia="zh-CN"/>
        </w:rPr>
        <w:t>负责信息汇总，组织、检查和监督地下空间应急管理工作。</w:t>
      </w:r>
    </w:p>
    <w:p w14:paraId="63456ED3">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 w:hAnsi="仿宋" w:eastAsia="仿宋" w:cs="仿宋"/>
          <w:spacing w:val="-5"/>
          <w:sz w:val="32"/>
          <w:szCs w:val="32"/>
          <w:lang w:eastAsia="zh-CN"/>
        </w:rPr>
        <w:t>(3)</w:t>
      </w:r>
      <w:r>
        <w:rPr>
          <w:rFonts w:hint="eastAsia" w:ascii="仿宋_GB2312" w:hAnsi="仿宋_GB2312" w:eastAsia="仿宋_GB2312" w:cs="仿宋_GB2312"/>
          <w:spacing w:val="-5"/>
          <w:sz w:val="32"/>
          <w:szCs w:val="32"/>
          <w:lang w:eastAsia="zh-CN"/>
        </w:rPr>
        <w:t>编制、修订书院镇地下空间突发事件应急预案，组织、指导有关部门和单位地下空间应急预案的编制工作。</w:t>
      </w:r>
    </w:p>
    <w:p w14:paraId="79B98E1C">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 w:hAnsi="仿宋" w:eastAsia="仿宋" w:cs="仿宋"/>
          <w:spacing w:val="-5"/>
          <w:sz w:val="32"/>
          <w:szCs w:val="32"/>
          <w:lang w:eastAsia="zh-CN"/>
        </w:rPr>
        <w:t>(4)</w:t>
      </w:r>
      <w:r>
        <w:rPr>
          <w:rFonts w:hint="eastAsia" w:ascii="仿宋_GB2312" w:hAnsi="仿宋_GB2312" w:eastAsia="仿宋_GB2312" w:cs="仿宋_GB2312"/>
          <w:spacing w:val="-5"/>
          <w:sz w:val="32"/>
          <w:szCs w:val="32"/>
          <w:lang w:eastAsia="zh-CN"/>
        </w:rPr>
        <w:t>综合协调书院镇地下空间应急演练、宣传教育培训等工作。</w:t>
      </w:r>
    </w:p>
    <w:p w14:paraId="5E8DB2DE">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 w:hAnsi="仿宋" w:eastAsia="仿宋" w:cs="仿宋"/>
          <w:spacing w:val="-5"/>
          <w:sz w:val="32"/>
          <w:szCs w:val="32"/>
          <w:lang w:eastAsia="zh-CN"/>
        </w:rPr>
        <w:t>(5)</w:t>
      </w:r>
      <w:r>
        <w:rPr>
          <w:rFonts w:hint="eastAsia" w:ascii="仿宋_GB2312" w:hAnsi="仿宋_GB2312" w:eastAsia="仿宋_GB2312" w:cs="仿宋_GB2312"/>
          <w:spacing w:val="-5"/>
          <w:sz w:val="32"/>
          <w:szCs w:val="32"/>
          <w:lang w:eastAsia="zh-CN"/>
        </w:rPr>
        <w:t>负责统筹协调各单位为地下空间突发事件的应急处置。</w:t>
      </w:r>
    </w:p>
    <w:p w14:paraId="7D13E1A9">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 w:hAnsi="仿宋" w:eastAsia="仿宋" w:cs="仿宋"/>
          <w:spacing w:val="-5"/>
          <w:sz w:val="32"/>
          <w:szCs w:val="32"/>
          <w:lang w:eastAsia="zh-CN"/>
        </w:rPr>
        <w:t>(6)</w:t>
      </w:r>
      <w:r>
        <w:rPr>
          <w:rFonts w:hint="eastAsia" w:ascii="仿宋_GB2312" w:hAnsi="仿宋_GB2312" w:eastAsia="仿宋_GB2312" w:cs="仿宋_GB2312"/>
          <w:spacing w:val="-5"/>
          <w:sz w:val="32"/>
          <w:szCs w:val="32"/>
          <w:lang w:eastAsia="zh-CN"/>
        </w:rPr>
        <w:t>办理和督促落实地下空间安全使用管理联席办交办的其他事项。</w:t>
      </w:r>
    </w:p>
    <w:p w14:paraId="7EC509A0">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 w:hAnsi="仿宋" w:eastAsia="仿宋" w:cs="仿宋"/>
          <w:spacing w:val="-5"/>
          <w:sz w:val="32"/>
          <w:szCs w:val="32"/>
          <w:lang w:eastAsia="zh-CN"/>
        </w:rPr>
        <w:t>2.4.2</w:t>
      </w:r>
      <w:r>
        <w:rPr>
          <w:rFonts w:hint="eastAsia" w:ascii="仿宋_GB2312" w:hAnsi="仿宋_GB2312" w:eastAsia="仿宋_GB2312" w:cs="仿宋_GB2312"/>
          <w:spacing w:val="-5"/>
          <w:sz w:val="32"/>
          <w:szCs w:val="32"/>
          <w:lang w:eastAsia="zh-CN"/>
        </w:rPr>
        <w:t>书院镇地下空间应急预案的成员单位主要职责为：根据本预案、行业条线预案、各类工程预案等要求，对地下空间突发事件实施应急处置，针对地下空间突发事件的特殊性，强化应急处置相关工作。</w:t>
      </w:r>
    </w:p>
    <w:p w14:paraId="680F3B6E">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 w:hAnsi="仿宋" w:eastAsia="仿宋" w:cs="仿宋"/>
          <w:spacing w:val="-5"/>
          <w:sz w:val="32"/>
          <w:szCs w:val="32"/>
          <w:lang w:eastAsia="zh-CN"/>
        </w:rPr>
        <w:t>2.4.3</w:t>
      </w:r>
      <w:r>
        <w:rPr>
          <w:rFonts w:hint="eastAsia" w:ascii="仿宋_GB2312" w:hAnsi="仿宋_GB2312" w:eastAsia="仿宋_GB2312" w:cs="仿宋_GB2312"/>
          <w:spacing w:val="-5"/>
          <w:sz w:val="32"/>
          <w:szCs w:val="32"/>
          <w:lang w:eastAsia="zh-CN"/>
        </w:rPr>
        <w:t>地下空间产权人、物业管理单位和使用单位主要职责 为：对地下空间突发事件实施先期处置，组织人员开展自救互救及时报告突发事件情况，提供应急处置需要的信息资料和人力物力资源，参与和保障应急处置行动。</w:t>
      </w:r>
    </w:p>
    <w:p w14:paraId="2B67D1FD">
      <w:pPr>
        <w:keepNext w:val="0"/>
        <w:keepLines w:val="0"/>
        <w:pageBreakBefore w:val="0"/>
        <w:kinsoku/>
        <w:wordWrap/>
        <w:overflowPunct/>
        <w:topLinePunct w:val="0"/>
        <w:autoSpaceDE/>
        <w:autoSpaceDN/>
        <w:bidi w:val="0"/>
        <w:adjustRightInd/>
        <w:snapToGrid/>
        <w:spacing w:line="600" w:lineRule="exact"/>
        <w:ind w:firstLine="663" w:firstLineChars="200"/>
        <w:textAlignment w:val="auto"/>
        <w:outlineLvl w:val="0"/>
        <w:rPr>
          <w:rFonts w:hint="eastAsia" w:ascii="楷体" w:hAnsi="楷体" w:eastAsia="楷体" w:cstheme="minorHAnsi"/>
          <w:b/>
          <w:spacing w:val="5"/>
          <w:sz w:val="32"/>
          <w:szCs w:val="32"/>
          <w:lang w:eastAsia="zh-CN"/>
        </w:rPr>
      </w:pPr>
      <w:r>
        <w:rPr>
          <w:rFonts w:hint="eastAsia" w:ascii="楷体" w:hAnsi="楷体" w:eastAsia="楷体" w:cs="楷体"/>
          <w:b/>
          <w:bCs w:val="0"/>
          <w:spacing w:val="5"/>
          <w:sz w:val="32"/>
          <w:szCs w:val="32"/>
          <w:lang w:eastAsia="zh-CN"/>
        </w:rPr>
        <w:t>2.5专家机构</w:t>
      </w:r>
    </w:p>
    <w:p w14:paraId="48EFA762">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联席办根据需要提请区地空联办派出有关专家，为地下空间应急处置提供决策建议与科技支撑。</w:t>
      </w:r>
    </w:p>
    <w:p w14:paraId="2CF53797">
      <w:pPr>
        <w:keepNext w:val="0"/>
        <w:keepLines w:val="0"/>
        <w:pageBreakBefore w:val="0"/>
        <w:kinsoku/>
        <w:wordWrap/>
        <w:overflowPunct/>
        <w:topLinePunct w:val="0"/>
        <w:autoSpaceDE/>
        <w:autoSpaceDN/>
        <w:bidi w:val="0"/>
        <w:adjustRightInd/>
        <w:snapToGrid/>
        <w:spacing w:line="600" w:lineRule="exact"/>
        <w:ind w:firstLine="596" w:firstLineChars="200"/>
        <w:textAlignment w:val="auto"/>
        <w:outlineLvl w:val="0"/>
        <w:rPr>
          <w:rFonts w:hint="eastAsia" w:ascii="黑体" w:hAnsi="黑体" w:eastAsia="黑体" w:cs="黑体"/>
          <w:b w:val="0"/>
          <w:bCs w:val="0"/>
          <w:spacing w:val="-11"/>
          <w:sz w:val="32"/>
          <w:szCs w:val="32"/>
          <w:lang w:eastAsia="zh-CN"/>
        </w:rPr>
      </w:pPr>
      <w:r>
        <w:rPr>
          <w:rFonts w:hint="eastAsia" w:ascii="黑体" w:hAnsi="黑体" w:eastAsia="黑体" w:cs="黑体"/>
          <w:b w:val="0"/>
          <w:bCs w:val="0"/>
          <w:spacing w:val="-11"/>
          <w:sz w:val="32"/>
          <w:szCs w:val="32"/>
          <w:lang w:eastAsia="zh-CN"/>
        </w:rPr>
        <w:t>3.风险评估</w:t>
      </w:r>
    </w:p>
    <w:p w14:paraId="56625F4A">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根据历史资料和专家研究，对书院镇地下空间可能造成影响和威胁的主要自然灾害有：暴雨、台风和汛期引起倒灌、地震引起 坍塌等；人为灾害事故有：恐怖事件、瘟疫传染病、群体性暴力 事件、火灾事故、重大生产安全事故和生命线工程事故(供水、供气、供电、通信)等。</w:t>
      </w:r>
    </w:p>
    <w:p w14:paraId="16EE8602">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书院镇现已建成地下工程</w:t>
      </w:r>
      <w:r>
        <w:rPr>
          <w:rFonts w:hint="eastAsia" w:ascii="Times New Roman" w:hAnsi="Times New Roman" w:eastAsia="仿宋_GB2312"/>
          <w:bCs/>
          <w:sz w:val="32"/>
          <w:lang w:eastAsia="zh-CN"/>
        </w:rPr>
        <w:t>19</w:t>
      </w:r>
      <w:r>
        <w:rPr>
          <w:rFonts w:hint="eastAsia" w:ascii="仿宋_GB2312" w:hAnsi="仿宋_GB2312" w:eastAsia="仿宋_GB2312" w:cs="仿宋_GB2312"/>
          <w:spacing w:val="-5"/>
          <w:sz w:val="32"/>
          <w:szCs w:val="32"/>
          <w:lang w:eastAsia="zh-CN"/>
        </w:rPr>
        <w:t>余处。书院镇地下空间面临的主要风险包括： 一是潜在结构病害风险，部分老旧地下空间年久失修、结构老化、维护不力，存在潜 在病害损坏如开裂、漏水、腐蚀、等问题。二是暴雨洪涝风险，由于受海陆地理环境、热岛效应等交替作用，以及地面沉降、海平面上升等影响，本市易出现台风、暴雨、天文高潮、 洪水灾害等多灾种叠加，且暴雨、台风等灾害天气频次、强度呈增大趋势，特别是主汛期</w:t>
      </w:r>
      <w:r>
        <w:rPr>
          <w:rFonts w:hint="eastAsia" w:ascii="Times New Roman" w:hAnsi="Times New Roman" w:eastAsia="仿宋_GB2312"/>
          <w:bCs/>
          <w:sz w:val="32"/>
          <w:lang w:eastAsia="zh-CN"/>
        </w:rPr>
        <w:t>7、8、9</w:t>
      </w:r>
      <w:r>
        <w:rPr>
          <w:rFonts w:hint="eastAsia" w:ascii="仿宋_GB2312" w:hAnsi="仿宋_GB2312" w:eastAsia="仿宋_GB2312" w:cs="仿宋_GB2312"/>
          <w:spacing w:val="-5"/>
          <w:sz w:val="32"/>
          <w:szCs w:val="32"/>
          <w:lang w:eastAsia="zh-CN"/>
        </w:rPr>
        <w:t>月，地下空间由于其特殊的工程位置与结构形式存在积水内涝的风险。三是火灾风险，地下空间相对封闭，对外交通及连接方式有限，运营中易因设备故障或人员使用不当等引发火灾，尤其是近年来随着地下空间内电动车或电动汽车等大功率充电设施引入，可能诱发火灾隐患并导致严重后果。四是邻近施工干扰风险，地下空间邻近镇域基坑开挖、 桩基施工、周边穿越和过量堆载等第三方活动，极易对既有地下空间结构造成破坏，甚至引起塌陷等重大事故。</w:t>
      </w:r>
    </w:p>
    <w:p w14:paraId="5797B252">
      <w:pPr>
        <w:keepNext w:val="0"/>
        <w:keepLines w:val="0"/>
        <w:pageBreakBefore w:val="0"/>
        <w:kinsoku/>
        <w:wordWrap/>
        <w:overflowPunct/>
        <w:topLinePunct w:val="0"/>
        <w:autoSpaceDE/>
        <w:autoSpaceDN/>
        <w:bidi w:val="0"/>
        <w:adjustRightInd/>
        <w:snapToGrid/>
        <w:spacing w:line="600" w:lineRule="exact"/>
        <w:ind w:firstLine="596" w:firstLineChars="200"/>
        <w:textAlignment w:val="auto"/>
        <w:outlineLvl w:val="0"/>
        <w:rPr>
          <w:rFonts w:hint="eastAsia" w:ascii="黑体" w:hAnsi="黑体" w:eastAsia="黑体" w:cs="黑体"/>
          <w:b w:val="0"/>
          <w:bCs w:val="0"/>
          <w:spacing w:val="-11"/>
          <w:sz w:val="32"/>
          <w:szCs w:val="32"/>
          <w:lang w:eastAsia="zh-CN"/>
        </w:rPr>
      </w:pPr>
      <w:r>
        <w:rPr>
          <w:rFonts w:hint="eastAsia" w:ascii="黑体" w:hAnsi="黑体" w:eastAsia="黑体" w:cs="黑体"/>
          <w:b w:val="0"/>
          <w:bCs w:val="0"/>
          <w:spacing w:val="-11"/>
          <w:sz w:val="32"/>
          <w:szCs w:val="32"/>
          <w:lang w:eastAsia="zh-CN"/>
        </w:rPr>
        <w:t>4.监测预警</w:t>
      </w:r>
    </w:p>
    <w:p w14:paraId="71A0EB72">
      <w:pPr>
        <w:keepNext w:val="0"/>
        <w:keepLines w:val="0"/>
        <w:pageBreakBefore w:val="0"/>
        <w:kinsoku/>
        <w:wordWrap/>
        <w:overflowPunct/>
        <w:topLinePunct w:val="0"/>
        <w:autoSpaceDE/>
        <w:autoSpaceDN/>
        <w:bidi w:val="0"/>
        <w:adjustRightInd/>
        <w:snapToGrid/>
        <w:spacing w:line="600" w:lineRule="exact"/>
        <w:ind w:firstLine="663" w:firstLineChars="200"/>
        <w:textAlignment w:val="auto"/>
        <w:outlineLvl w:val="0"/>
        <w:rPr>
          <w:rFonts w:hint="eastAsia" w:ascii="楷体" w:hAnsi="楷体" w:eastAsia="楷体" w:cs="楷体"/>
          <w:b/>
          <w:bCs w:val="0"/>
          <w:spacing w:val="5"/>
          <w:sz w:val="32"/>
          <w:szCs w:val="32"/>
          <w:lang w:eastAsia="zh-CN"/>
        </w:rPr>
      </w:pPr>
      <w:r>
        <w:rPr>
          <w:rFonts w:hint="eastAsia" w:ascii="楷体" w:hAnsi="楷体" w:eastAsia="楷体" w:cs="楷体"/>
          <w:b/>
          <w:bCs w:val="0"/>
          <w:spacing w:val="5"/>
          <w:sz w:val="32"/>
          <w:szCs w:val="32"/>
          <w:lang w:eastAsia="zh-CN"/>
        </w:rPr>
        <w:t>4.1信息监测</w:t>
      </w:r>
    </w:p>
    <w:p w14:paraId="457577B0">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 w:hAnsi="仿宋" w:eastAsia="仿宋" w:cs="仿宋"/>
          <w:spacing w:val="-5"/>
          <w:sz w:val="32"/>
          <w:szCs w:val="32"/>
          <w:lang w:eastAsia="zh-CN"/>
        </w:rPr>
        <w:t>4.1.1</w:t>
      </w:r>
      <w:r>
        <w:rPr>
          <w:rFonts w:hint="eastAsia" w:ascii="仿宋_GB2312" w:hAnsi="仿宋_GB2312" w:eastAsia="仿宋_GB2312" w:cs="仿宋_GB2312"/>
          <w:spacing w:val="-5"/>
          <w:sz w:val="32"/>
          <w:szCs w:val="32"/>
          <w:lang w:eastAsia="zh-CN"/>
        </w:rPr>
        <w:t>书院镇依托浦东城市大脑-书院镇智能综合管理平台</w:t>
      </w:r>
      <w:r>
        <w:rPr>
          <w:rFonts w:hint="eastAsia" w:ascii="Times New Roman" w:hAnsi="Times New Roman" w:eastAsia="仿宋_GB2312"/>
          <w:bCs/>
          <w:sz w:val="32"/>
          <w:lang w:eastAsia="zh-CN"/>
        </w:rPr>
        <w:t>3.0</w:t>
      </w:r>
      <w:r>
        <w:rPr>
          <w:rFonts w:hint="eastAsia" w:ascii="仿宋_GB2312" w:hAnsi="仿宋_GB2312" w:eastAsia="仿宋_GB2312" w:cs="仿宋_GB2312"/>
          <w:spacing w:val="-5"/>
          <w:sz w:val="32"/>
          <w:szCs w:val="32"/>
          <w:lang w:eastAsia="zh-CN"/>
        </w:rPr>
        <w:t>对相关职能部门及地下空间产权人、物业管理单位和使用人应建立健全地下空间安全使用隐患排查、监测预警机制，对地下空间可能发生的突发事件进行评估，依法及时整治，降低隐患风险。</w:t>
      </w:r>
    </w:p>
    <w:p w14:paraId="467D7DC5">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 w:hAnsi="仿宋" w:eastAsia="仿宋" w:cs="仿宋"/>
          <w:spacing w:val="-5"/>
          <w:sz w:val="32"/>
          <w:szCs w:val="32"/>
          <w:lang w:eastAsia="zh-CN"/>
        </w:rPr>
        <w:t>4.1.2</w:t>
      </w:r>
      <w:r>
        <w:rPr>
          <w:rFonts w:hint="eastAsia" w:ascii="仿宋_GB2312" w:hAnsi="仿宋_GB2312" w:eastAsia="仿宋_GB2312" w:cs="仿宋_GB2312"/>
          <w:spacing w:val="-5"/>
          <w:sz w:val="32"/>
          <w:szCs w:val="32"/>
          <w:lang w:eastAsia="zh-CN"/>
        </w:rPr>
        <w:t>在重大节假日、重要会议和重大社会活动等重要时间节点，要和各相关职能部门应加强地下空间安全运行状态监测和风险预警工作。</w:t>
      </w:r>
    </w:p>
    <w:p w14:paraId="574EB872">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 w:hAnsi="仿宋" w:eastAsia="仿宋" w:cs="仿宋"/>
          <w:spacing w:val="-5"/>
          <w:sz w:val="32"/>
          <w:szCs w:val="32"/>
          <w:lang w:eastAsia="zh-CN"/>
        </w:rPr>
        <w:t>4.1.3</w:t>
      </w:r>
      <w:r>
        <w:rPr>
          <w:rFonts w:hint="eastAsia" w:ascii="仿宋_GB2312" w:hAnsi="仿宋_GB2312" w:eastAsia="仿宋_GB2312" w:cs="仿宋_GB2312"/>
          <w:spacing w:val="-5"/>
          <w:sz w:val="32"/>
          <w:szCs w:val="32"/>
          <w:lang w:eastAsia="zh-CN"/>
        </w:rPr>
        <w:t>对于涉密信息，负责收集、使用数据的部门应遵守相关规定，做好保密工作。</w:t>
      </w:r>
    </w:p>
    <w:p w14:paraId="0206CB01">
      <w:pPr>
        <w:keepNext w:val="0"/>
        <w:keepLines w:val="0"/>
        <w:pageBreakBefore w:val="0"/>
        <w:kinsoku/>
        <w:wordWrap/>
        <w:overflowPunct/>
        <w:topLinePunct w:val="0"/>
        <w:autoSpaceDE/>
        <w:autoSpaceDN/>
        <w:bidi w:val="0"/>
        <w:adjustRightInd/>
        <w:snapToGrid/>
        <w:spacing w:line="600" w:lineRule="exact"/>
        <w:ind w:firstLine="663" w:firstLineChars="200"/>
        <w:textAlignment w:val="auto"/>
        <w:outlineLvl w:val="0"/>
        <w:rPr>
          <w:rFonts w:hint="eastAsia" w:ascii="楷体" w:hAnsi="楷体" w:eastAsia="楷体" w:cs="楷体"/>
          <w:b/>
          <w:bCs w:val="0"/>
          <w:spacing w:val="5"/>
          <w:sz w:val="32"/>
          <w:szCs w:val="32"/>
          <w:lang w:eastAsia="zh-CN"/>
        </w:rPr>
      </w:pPr>
      <w:r>
        <w:rPr>
          <w:rFonts w:hint="eastAsia" w:ascii="楷体" w:hAnsi="楷体" w:eastAsia="楷体" w:cs="楷体"/>
          <w:b/>
          <w:bCs w:val="0"/>
          <w:spacing w:val="5"/>
          <w:sz w:val="32"/>
          <w:szCs w:val="32"/>
          <w:lang w:eastAsia="zh-CN"/>
        </w:rPr>
        <w:t>4.2 预警级别</w:t>
      </w:r>
    </w:p>
    <w:p w14:paraId="59A693D1">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 xml:space="preserve">依据突发事件可能造成的危害程度、紧急程度和发展势态，地下空间突发事件预警级别一般分为四级： IV级(一般)、Ⅲ级 </w:t>
      </w:r>
      <w:r>
        <w:rPr>
          <w:rFonts w:hint="eastAsia" w:ascii="仿宋_GB2312" w:hAnsi="仿宋_GB2312" w:eastAsia="仿宋_GB2312" w:cs="仿宋_GB2312"/>
          <w:spacing w:val="-5"/>
          <w:sz w:val="32"/>
          <w:szCs w:val="32"/>
          <w:lang w:eastAsia="zh-CN"/>
        </w:rPr>
        <w:tab/>
      </w:r>
      <w:r>
        <w:rPr>
          <w:rFonts w:hint="eastAsia" w:ascii="仿宋_GB2312" w:hAnsi="仿宋_GB2312" w:eastAsia="仿宋_GB2312" w:cs="仿宋_GB2312"/>
          <w:spacing w:val="-5"/>
          <w:sz w:val="32"/>
          <w:szCs w:val="32"/>
          <w:lang w:eastAsia="zh-CN"/>
        </w:rPr>
        <w:t>(较重)、Ⅱ级(严重)和 I 级(特别严重),依次用蓝色、黄色、橙色和红色表示。具体预警级别标准的设定，按国家和本市相关规定及相关镇级专项应急预案执行。</w:t>
      </w:r>
    </w:p>
    <w:p w14:paraId="6681AA71">
      <w:pPr>
        <w:keepNext w:val="0"/>
        <w:keepLines w:val="0"/>
        <w:pageBreakBefore w:val="0"/>
        <w:kinsoku/>
        <w:wordWrap/>
        <w:overflowPunct/>
        <w:topLinePunct w:val="0"/>
        <w:autoSpaceDE/>
        <w:autoSpaceDN/>
        <w:bidi w:val="0"/>
        <w:adjustRightInd/>
        <w:snapToGrid/>
        <w:spacing w:line="600" w:lineRule="exact"/>
        <w:ind w:firstLine="663" w:firstLineChars="200"/>
        <w:textAlignment w:val="auto"/>
        <w:outlineLvl w:val="0"/>
        <w:rPr>
          <w:rFonts w:hint="eastAsia" w:ascii="楷体" w:hAnsi="楷体" w:eastAsia="楷体" w:cs="楷体"/>
          <w:b/>
          <w:bCs w:val="0"/>
          <w:spacing w:val="5"/>
          <w:sz w:val="32"/>
          <w:szCs w:val="32"/>
          <w:lang w:eastAsia="zh-CN"/>
        </w:rPr>
      </w:pPr>
      <w:r>
        <w:rPr>
          <w:rFonts w:hint="eastAsia" w:ascii="楷体" w:hAnsi="楷体" w:eastAsia="楷体" w:cs="楷体"/>
          <w:b/>
          <w:bCs w:val="0"/>
          <w:spacing w:val="5"/>
          <w:sz w:val="32"/>
          <w:szCs w:val="32"/>
          <w:lang w:eastAsia="zh-CN"/>
        </w:rPr>
        <w:t>4.3预警行动</w:t>
      </w:r>
    </w:p>
    <w:p w14:paraId="1774A904">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浦东新区应急管理综合信息平台（书院镇）根据接收的预警信息，迅速传递告知各相关部门、及相关单位。</w:t>
      </w:r>
    </w:p>
    <w:p w14:paraId="7184AA82">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各相关部门及相关单位要及时准确地将上级发布的预警信息，通过各种有效途径告之公众，同时宣传应急避险和防灾减灾常识。</w:t>
      </w:r>
    </w:p>
    <w:p w14:paraId="098E35F1">
      <w:pPr>
        <w:keepNext w:val="0"/>
        <w:keepLines w:val="0"/>
        <w:pageBreakBefore w:val="0"/>
        <w:kinsoku/>
        <w:wordWrap/>
        <w:overflowPunct/>
        <w:topLinePunct w:val="0"/>
        <w:autoSpaceDE/>
        <w:autoSpaceDN/>
        <w:bidi w:val="0"/>
        <w:adjustRightInd/>
        <w:snapToGrid/>
        <w:spacing w:line="600" w:lineRule="exact"/>
        <w:ind w:firstLine="596" w:firstLineChars="200"/>
        <w:textAlignment w:val="auto"/>
        <w:outlineLvl w:val="0"/>
        <w:rPr>
          <w:rFonts w:hint="eastAsia" w:ascii="黑体" w:hAnsi="黑体" w:eastAsia="黑体" w:cs="黑体"/>
          <w:b w:val="0"/>
          <w:bCs w:val="0"/>
          <w:spacing w:val="-11"/>
          <w:sz w:val="32"/>
          <w:szCs w:val="32"/>
          <w:lang w:eastAsia="zh-CN"/>
        </w:rPr>
      </w:pPr>
      <w:r>
        <w:rPr>
          <w:rFonts w:hint="eastAsia" w:ascii="黑体" w:hAnsi="黑体" w:eastAsia="黑体" w:cs="黑体"/>
          <w:b w:val="0"/>
          <w:bCs w:val="0"/>
          <w:spacing w:val="-11"/>
          <w:sz w:val="32"/>
          <w:szCs w:val="32"/>
          <w:lang w:eastAsia="zh-CN"/>
        </w:rPr>
        <w:t>5.应急响应</w:t>
      </w:r>
    </w:p>
    <w:p w14:paraId="2FB803A4">
      <w:pPr>
        <w:keepNext w:val="0"/>
        <w:keepLines w:val="0"/>
        <w:pageBreakBefore w:val="0"/>
        <w:kinsoku/>
        <w:wordWrap/>
        <w:overflowPunct/>
        <w:topLinePunct w:val="0"/>
        <w:autoSpaceDE/>
        <w:autoSpaceDN/>
        <w:bidi w:val="0"/>
        <w:adjustRightInd/>
        <w:snapToGrid/>
        <w:spacing w:line="600" w:lineRule="exact"/>
        <w:ind w:firstLine="663" w:firstLineChars="200"/>
        <w:textAlignment w:val="auto"/>
        <w:outlineLvl w:val="0"/>
        <w:rPr>
          <w:rFonts w:hint="eastAsia" w:ascii="楷体" w:hAnsi="楷体" w:eastAsia="楷体" w:cstheme="minorHAnsi"/>
          <w:b/>
          <w:spacing w:val="5"/>
          <w:sz w:val="32"/>
          <w:szCs w:val="32"/>
          <w:lang w:eastAsia="zh-CN"/>
        </w:rPr>
      </w:pPr>
      <w:r>
        <w:rPr>
          <w:rFonts w:hint="eastAsia" w:ascii="楷体" w:hAnsi="楷体" w:eastAsia="楷体" w:cs="楷体"/>
          <w:b/>
          <w:bCs w:val="0"/>
          <w:spacing w:val="5"/>
          <w:sz w:val="32"/>
          <w:szCs w:val="32"/>
          <w:lang w:eastAsia="zh-CN"/>
        </w:rPr>
        <w:t>5.1信息报告</w:t>
      </w:r>
    </w:p>
    <w:p w14:paraId="4170810C">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 w:hAnsi="仿宋" w:eastAsia="仿宋" w:cs="仿宋"/>
          <w:spacing w:val="-5"/>
          <w:sz w:val="32"/>
          <w:szCs w:val="32"/>
          <w:lang w:eastAsia="zh-CN"/>
        </w:rPr>
        <w:t>5.1.1</w:t>
      </w:r>
      <w:r>
        <w:rPr>
          <w:rFonts w:hint="eastAsia" w:ascii="仿宋_GB2312" w:hAnsi="仿宋_GB2312" w:eastAsia="仿宋_GB2312" w:cs="仿宋_GB2312"/>
          <w:spacing w:val="-5"/>
          <w:sz w:val="32"/>
          <w:szCs w:val="32"/>
          <w:lang w:eastAsia="zh-CN"/>
        </w:rPr>
        <w:t>一旦在书院镇地下空间发生突发事件，有关部门、单位和人员要立即通过“</w:t>
      </w:r>
      <w:r>
        <w:rPr>
          <w:rFonts w:hint="eastAsia" w:ascii="Times New Roman" w:hAnsi="Times New Roman" w:eastAsia="仿宋_GB2312"/>
          <w:bCs/>
          <w:sz w:val="32"/>
          <w:lang w:eastAsia="zh-CN"/>
        </w:rPr>
        <w:t>110</w:t>
      </w:r>
      <w:r>
        <w:rPr>
          <w:rFonts w:hint="eastAsia" w:ascii="仿宋_GB2312" w:hAnsi="仿宋_GB2312" w:eastAsia="仿宋_GB2312" w:cs="仿宋_GB2312"/>
          <w:spacing w:val="-5"/>
          <w:sz w:val="32"/>
          <w:szCs w:val="32"/>
          <w:lang w:eastAsia="zh-CN"/>
        </w:rPr>
        <w:t>”电话报警，或通过其它方式向镇政府、联席办或其他有关部门报告。</w:t>
      </w:r>
    </w:p>
    <w:p w14:paraId="1413745E">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 w:hAnsi="仿宋" w:eastAsia="仿宋" w:cs="仿宋"/>
          <w:spacing w:val="-5"/>
          <w:sz w:val="32"/>
          <w:szCs w:val="32"/>
          <w:lang w:eastAsia="zh-CN"/>
        </w:rPr>
        <w:t xml:space="preserve">5.1.2 </w:t>
      </w:r>
      <w:r>
        <w:rPr>
          <w:rFonts w:hint="eastAsia" w:ascii="仿宋_GB2312" w:hAnsi="仿宋_GB2312" w:eastAsia="仿宋_GB2312" w:cs="仿宋_GB2312"/>
          <w:spacing w:val="-5"/>
          <w:sz w:val="32"/>
          <w:szCs w:val="32"/>
          <w:lang w:eastAsia="zh-CN"/>
        </w:rPr>
        <w:t>地下空间突发事件报告内容应包括：事件发生的时间、地点、信息来源、现场情况、简要经过、影响范围、人员伤亡和失联情况、财产损失情况以及已经采取的措施等。报告应做到首报快、续报准和终报全。</w:t>
      </w:r>
    </w:p>
    <w:p w14:paraId="4963E6CE">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 w:hAnsi="仿宋" w:eastAsia="仿宋" w:cs="仿宋"/>
          <w:spacing w:val="-5"/>
          <w:sz w:val="32"/>
          <w:szCs w:val="32"/>
          <w:lang w:eastAsia="zh-CN"/>
        </w:rPr>
        <w:t>5.1.3</w:t>
      </w:r>
      <w:r>
        <w:rPr>
          <w:rFonts w:hint="eastAsia" w:ascii="仿宋_GB2312" w:hAnsi="仿宋_GB2312" w:eastAsia="仿宋_GB2312" w:cs="仿宋_GB2312"/>
          <w:spacing w:val="-5"/>
          <w:sz w:val="32"/>
          <w:szCs w:val="32"/>
          <w:lang w:eastAsia="zh-CN"/>
        </w:rPr>
        <w:t>地下空间发生突发事件，各单位接报后在按照预案组织应急处置的同时，对于一次造成</w:t>
      </w:r>
      <w:r>
        <w:rPr>
          <w:rFonts w:hint="eastAsia" w:ascii="Times New Roman" w:hAnsi="Times New Roman" w:eastAsia="仿宋_GB2312"/>
          <w:bCs/>
          <w:sz w:val="32"/>
          <w:lang w:eastAsia="zh-CN"/>
        </w:rPr>
        <w:t>1</w:t>
      </w:r>
      <w:r>
        <w:rPr>
          <w:rFonts w:hint="eastAsia" w:ascii="仿宋_GB2312" w:hAnsi="仿宋_GB2312" w:eastAsia="仿宋_GB2312" w:cs="仿宋_GB2312"/>
          <w:spacing w:val="-5"/>
          <w:sz w:val="32"/>
          <w:szCs w:val="32"/>
          <w:lang w:eastAsia="zh-CN"/>
        </w:rPr>
        <w:t>人以上死亡或</w:t>
      </w:r>
      <w:r>
        <w:rPr>
          <w:rFonts w:hint="eastAsia" w:ascii="Times New Roman" w:hAnsi="Times New Roman" w:eastAsia="仿宋_GB2312"/>
          <w:bCs/>
          <w:sz w:val="32"/>
          <w:lang w:eastAsia="zh-CN"/>
        </w:rPr>
        <w:t>3</w:t>
      </w:r>
      <w:r>
        <w:rPr>
          <w:rFonts w:hint="eastAsia" w:ascii="仿宋_GB2312" w:hAnsi="仿宋_GB2312" w:eastAsia="仿宋_GB2312" w:cs="仿宋_GB2312"/>
          <w:spacing w:val="-5"/>
          <w:sz w:val="32"/>
          <w:szCs w:val="32"/>
          <w:lang w:eastAsia="zh-CN"/>
        </w:rPr>
        <w:t>人以上受伤的突发事件，必须立即向应急中心报告，同时抄报区联席办。发生较大及以上级别突发事件，必须立即报告。同时根据事态发展情况，及时向区地空联办报告相关情况。</w:t>
      </w:r>
    </w:p>
    <w:p w14:paraId="189A5091">
      <w:pPr>
        <w:keepNext w:val="0"/>
        <w:keepLines w:val="0"/>
        <w:pageBreakBefore w:val="0"/>
        <w:kinsoku/>
        <w:wordWrap/>
        <w:overflowPunct/>
        <w:topLinePunct w:val="0"/>
        <w:autoSpaceDE/>
        <w:autoSpaceDN/>
        <w:bidi w:val="0"/>
        <w:adjustRightInd/>
        <w:snapToGrid/>
        <w:spacing w:line="600" w:lineRule="exact"/>
        <w:ind w:firstLine="663" w:firstLineChars="200"/>
        <w:textAlignment w:val="auto"/>
        <w:outlineLvl w:val="0"/>
        <w:rPr>
          <w:rFonts w:hint="eastAsia" w:ascii="楷体" w:hAnsi="楷体" w:eastAsia="楷体" w:cs="楷体"/>
          <w:b/>
          <w:bCs w:val="0"/>
          <w:spacing w:val="5"/>
          <w:sz w:val="32"/>
          <w:szCs w:val="32"/>
          <w:lang w:eastAsia="zh-CN"/>
        </w:rPr>
      </w:pPr>
      <w:r>
        <w:rPr>
          <w:rFonts w:hint="eastAsia" w:ascii="楷体" w:hAnsi="楷体" w:eastAsia="楷体" w:cs="楷体"/>
          <w:b/>
          <w:bCs w:val="0"/>
          <w:spacing w:val="5"/>
          <w:sz w:val="32"/>
          <w:szCs w:val="32"/>
          <w:lang w:eastAsia="zh-CN"/>
        </w:rPr>
        <w:t>5.2先期处置</w:t>
      </w:r>
    </w:p>
    <w:p w14:paraId="73119B72">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事发单位和居村是先期处置第一责任人，应启动本单位的应急预案，采取应急响应措施，组织本单位应急救援队伍和工作人员疏散受威胁人员；标明危险区域，封锁危险场所，并采取其他防止危害扩大的必要措施；并向应急中心报告。应急中心按照职责，通过组织、指挥、调度、协调各方面资源和力量，采取必要的措施，对突发事件进行先期处置，上报现场动态信息。各联动单位在各自职责范围内，进行突发事件应急联动先期处置工作。</w:t>
      </w:r>
    </w:p>
    <w:p w14:paraId="05855D47">
      <w:pPr>
        <w:keepNext w:val="0"/>
        <w:keepLines w:val="0"/>
        <w:pageBreakBefore w:val="0"/>
        <w:kinsoku/>
        <w:wordWrap/>
        <w:overflowPunct/>
        <w:topLinePunct w:val="0"/>
        <w:autoSpaceDE/>
        <w:autoSpaceDN/>
        <w:bidi w:val="0"/>
        <w:adjustRightInd/>
        <w:snapToGrid/>
        <w:spacing w:line="600" w:lineRule="exact"/>
        <w:ind w:firstLine="663" w:firstLineChars="200"/>
        <w:textAlignment w:val="auto"/>
        <w:outlineLvl w:val="0"/>
        <w:rPr>
          <w:rFonts w:hint="eastAsia" w:ascii="楷体" w:hAnsi="楷体" w:eastAsia="楷体" w:cstheme="minorHAnsi"/>
          <w:b/>
          <w:spacing w:val="5"/>
          <w:sz w:val="32"/>
          <w:szCs w:val="32"/>
          <w:lang w:eastAsia="zh-CN"/>
        </w:rPr>
      </w:pPr>
      <w:r>
        <w:rPr>
          <w:rFonts w:hint="eastAsia" w:ascii="楷体" w:hAnsi="楷体" w:eastAsia="楷体" w:cs="楷体"/>
          <w:b/>
          <w:bCs w:val="0"/>
          <w:spacing w:val="5"/>
          <w:sz w:val="32"/>
          <w:szCs w:val="32"/>
          <w:lang w:eastAsia="zh-CN"/>
        </w:rPr>
        <w:t>5.3分级响应</w:t>
      </w:r>
    </w:p>
    <w:p w14:paraId="68581FD1">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地下空间突发事件响应一般分为四级：IV级(一般)、Ⅲ级(较大)、Ⅱ级(重大)和I 级(特别重大),由低到高分别对应相关的突发事件，依次用蓝色、黄色、橙色和红色表示。当 地下空间突发事件发生在重要地段、重大节假日、重大活动和重要会议期间，以及敏感、可能恶化的事件，其应急响应等级可视情相应提高。应急响应启动后，可视突发事件态势发展情况及时调整响应级别。一旦发生先期处置后，仍不能控制的紧急情况，街镇、应急联动中心报请或由镇主要领导直接决定，明确应急响应等级和范围，启动应急预案，必要时设立镇级应急指挥部，接管事件处置指挥权，并向上级部门汇报现场情况。</w:t>
      </w:r>
    </w:p>
    <w:p w14:paraId="17C98984">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 w:hAnsi="仿宋" w:eastAsia="仿宋" w:cs="仿宋"/>
          <w:spacing w:val="-5"/>
          <w:sz w:val="32"/>
          <w:szCs w:val="32"/>
          <w:lang w:eastAsia="zh-CN"/>
        </w:rPr>
        <w:t>5.3.1</w:t>
      </w:r>
      <w:r>
        <w:rPr>
          <w:rFonts w:hint="eastAsia" w:ascii="仿宋_GB2312" w:hAnsi="仿宋_GB2312" w:eastAsia="仿宋_GB2312" w:cs="仿宋_GB2312"/>
          <w:spacing w:val="-5"/>
          <w:sz w:val="32"/>
          <w:szCs w:val="32"/>
          <w:lang w:eastAsia="zh-CN"/>
        </w:rPr>
        <w:t>IV级应急响应</w:t>
      </w:r>
    </w:p>
    <w:p w14:paraId="29AD58B5">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书院镇地下空间发生一般突发事件，启动IV级应急响应。联席办和书院镇应急平台的指导下，由事发地的村居和政府成立应急处置指挥部，统一组织、指挥、协调、调度应急力量和资源，实施应急处置。</w:t>
      </w:r>
    </w:p>
    <w:p w14:paraId="7A30E3BA">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 w:hAnsi="仿宋" w:eastAsia="仿宋" w:cs="仿宋"/>
          <w:spacing w:val="-5"/>
          <w:sz w:val="32"/>
          <w:szCs w:val="32"/>
          <w:lang w:eastAsia="zh-CN"/>
        </w:rPr>
        <w:t>5.3.2</w:t>
      </w:r>
      <w:r>
        <w:rPr>
          <w:rFonts w:hint="eastAsia" w:ascii="仿宋_GB2312" w:hAnsi="仿宋_GB2312" w:eastAsia="仿宋_GB2312" w:cs="仿宋_GB2312"/>
          <w:spacing w:val="-5"/>
          <w:sz w:val="32"/>
          <w:szCs w:val="32"/>
          <w:lang w:eastAsia="zh-CN"/>
        </w:rPr>
        <w:t>Ⅲ级应急响应</w:t>
      </w:r>
    </w:p>
    <w:p w14:paraId="409D5DD1">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书院镇地下空间发生较大突发事件，启动Ⅲ级应急响应，在镇政府的领导下，由应急处置指挥部统一组织、指挥、协调、调度全镇应急力量和资源，实施应急处置。</w:t>
      </w:r>
    </w:p>
    <w:p w14:paraId="7024EF84">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 w:hAnsi="仿宋" w:eastAsia="仿宋" w:cs="仿宋"/>
          <w:spacing w:val="-5"/>
          <w:sz w:val="32"/>
          <w:szCs w:val="32"/>
          <w:lang w:eastAsia="zh-CN"/>
        </w:rPr>
        <w:t>5.3.3</w:t>
      </w:r>
      <w:r>
        <w:rPr>
          <w:rFonts w:hint="eastAsia" w:ascii="仿宋_GB2312" w:hAnsi="仿宋_GB2312" w:eastAsia="仿宋_GB2312" w:cs="仿宋_GB2312"/>
          <w:spacing w:val="-5"/>
          <w:sz w:val="32"/>
          <w:szCs w:val="32"/>
          <w:lang w:eastAsia="zh-CN"/>
        </w:rPr>
        <w:t>I、Ⅱ 级应急响应</w:t>
      </w:r>
    </w:p>
    <w:p w14:paraId="54059DED">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书院镇地下空间发生特别重大或重大突发事件，启动I、Ⅱ级响应，由区应急处置指挥部统一组织、指挥、协调、调度，实施应急处置。书院镇地下空间突发事件应急处置指挥部作为现场应急处置指挥部，主要在区应急处置指挥部的统一指挥下开展应急救援的相关工作。</w:t>
      </w:r>
    </w:p>
    <w:p w14:paraId="76887A6A">
      <w:pPr>
        <w:keepNext w:val="0"/>
        <w:keepLines w:val="0"/>
        <w:pageBreakBefore w:val="0"/>
        <w:kinsoku/>
        <w:wordWrap/>
        <w:overflowPunct/>
        <w:topLinePunct w:val="0"/>
        <w:autoSpaceDE/>
        <w:autoSpaceDN/>
        <w:bidi w:val="0"/>
        <w:adjustRightInd/>
        <w:snapToGrid/>
        <w:spacing w:line="600" w:lineRule="exact"/>
        <w:ind w:firstLine="663" w:firstLineChars="200"/>
        <w:textAlignment w:val="auto"/>
        <w:outlineLvl w:val="0"/>
        <w:rPr>
          <w:rFonts w:hint="eastAsia" w:ascii="楷体" w:hAnsi="楷体" w:eastAsia="楷体" w:cstheme="minorHAnsi"/>
          <w:b/>
          <w:spacing w:val="5"/>
          <w:sz w:val="32"/>
          <w:szCs w:val="32"/>
          <w:lang w:eastAsia="zh-CN"/>
        </w:rPr>
      </w:pPr>
      <w:r>
        <w:rPr>
          <w:rFonts w:hint="eastAsia" w:ascii="楷体" w:hAnsi="楷体" w:eastAsia="楷体" w:cs="楷体"/>
          <w:b/>
          <w:bCs w:val="0"/>
          <w:spacing w:val="5"/>
          <w:sz w:val="32"/>
          <w:szCs w:val="32"/>
          <w:lang w:eastAsia="zh-CN"/>
        </w:rPr>
        <w:t>5.4应急处置</w:t>
      </w:r>
    </w:p>
    <w:p w14:paraId="6CCD353B">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涉及人员生命救助的地下空间事故救援，由综合性应急救援队伍统一实施救援指挥，现场救援指挥长由综合性应急救援队伍现场最高指挥员担任。无人员伤亡或救助结束后，根据事故性质，现场救援指挥长由联席办相应职能部门现场负责人担任，指挥协调相关单位开展现场应急处置。根据属地响应原则，事发地应视情成立现场处置指挥部，由镇领导对属地第一时间应急响应力量实施统一指挥。现场处置措施如下：</w:t>
      </w:r>
    </w:p>
    <w:p w14:paraId="17801B09">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 w:hAnsi="仿宋" w:eastAsia="仿宋" w:cs="仿宋"/>
          <w:spacing w:val="-5"/>
          <w:sz w:val="32"/>
          <w:szCs w:val="32"/>
          <w:lang w:eastAsia="zh-CN"/>
        </w:rPr>
        <w:t>(1)</w:t>
      </w:r>
      <w:r>
        <w:rPr>
          <w:rFonts w:hint="eastAsia" w:ascii="仿宋_GB2312" w:hAnsi="仿宋_GB2312" w:eastAsia="仿宋_GB2312" w:cs="仿宋_GB2312"/>
          <w:spacing w:val="-5"/>
          <w:sz w:val="32"/>
          <w:szCs w:val="32"/>
          <w:lang w:eastAsia="zh-CN"/>
        </w:rPr>
        <w:t>设置事故现场警戒线，实施场所封闭、隔离、限制使用，防止引发次生、衍生事件。</w:t>
      </w:r>
    </w:p>
    <w:p w14:paraId="2899F2D3">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 w:hAnsi="仿宋" w:eastAsia="仿宋" w:cs="仿宋"/>
          <w:spacing w:val="-5"/>
          <w:sz w:val="32"/>
          <w:szCs w:val="32"/>
          <w:lang w:eastAsia="zh-CN"/>
        </w:rPr>
        <w:t>(2)</w:t>
      </w:r>
      <w:r>
        <w:rPr>
          <w:rFonts w:hint="eastAsia" w:ascii="仿宋_GB2312" w:hAnsi="仿宋_GB2312" w:eastAsia="仿宋_GB2312" w:cs="仿宋_GB2312"/>
          <w:spacing w:val="-5"/>
          <w:sz w:val="32"/>
          <w:szCs w:val="32"/>
          <w:lang w:eastAsia="zh-CN"/>
        </w:rPr>
        <w:t>组织营救遇险人员，控制和切断危险源。</w:t>
      </w:r>
    </w:p>
    <w:p w14:paraId="3505583A">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 w:hAnsi="仿宋" w:eastAsia="仿宋" w:cs="仿宋"/>
          <w:spacing w:val="-5"/>
          <w:sz w:val="32"/>
          <w:szCs w:val="32"/>
          <w:lang w:eastAsia="zh-CN"/>
        </w:rPr>
        <w:t>(3)</w:t>
      </w:r>
      <w:r>
        <w:rPr>
          <w:rFonts w:hint="eastAsia" w:ascii="仿宋_GB2312" w:hAnsi="仿宋_GB2312" w:eastAsia="仿宋_GB2312" w:cs="仿宋_GB2312"/>
          <w:spacing w:val="-5"/>
          <w:sz w:val="32"/>
          <w:szCs w:val="32"/>
          <w:lang w:eastAsia="zh-CN"/>
        </w:rPr>
        <w:t>必要时，组织疏散、撤离和安置周边群众。</w:t>
      </w:r>
    </w:p>
    <w:p w14:paraId="29167F2A">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 w:hAnsi="仿宋" w:eastAsia="仿宋" w:cs="仿宋"/>
          <w:spacing w:val="-5"/>
          <w:sz w:val="32"/>
          <w:szCs w:val="32"/>
          <w:lang w:eastAsia="zh-CN"/>
        </w:rPr>
        <w:t>(4)</w:t>
      </w:r>
      <w:r>
        <w:rPr>
          <w:rFonts w:hint="eastAsia" w:ascii="仿宋_GB2312" w:hAnsi="仿宋_GB2312" w:eastAsia="仿宋_GB2312" w:cs="仿宋_GB2312"/>
          <w:spacing w:val="-5"/>
          <w:sz w:val="32"/>
          <w:szCs w:val="32"/>
          <w:lang w:eastAsia="zh-CN"/>
        </w:rPr>
        <w:t>其它必要的紧急措施。</w:t>
      </w:r>
    </w:p>
    <w:p w14:paraId="5F193CC8">
      <w:pPr>
        <w:keepNext w:val="0"/>
        <w:keepLines w:val="0"/>
        <w:pageBreakBefore w:val="0"/>
        <w:kinsoku/>
        <w:wordWrap/>
        <w:overflowPunct/>
        <w:topLinePunct w:val="0"/>
        <w:autoSpaceDE/>
        <w:autoSpaceDN/>
        <w:bidi w:val="0"/>
        <w:adjustRightInd/>
        <w:snapToGrid/>
        <w:spacing w:line="600" w:lineRule="exact"/>
        <w:ind w:firstLine="663" w:firstLineChars="200"/>
        <w:textAlignment w:val="auto"/>
        <w:outlineLvl w:val="0"/>
        <w:rPr>
          <w:rFonts w:hint="eastAsia" w:ascii="楷体" w:hAnsi="楷体" w:eastAsia="楷体" w:cs="楷体"/>
          <w:b/>
          <w:bCs w:val="0"/>
          <w:spacing w:val="5"/>
          <w:sz w:val="32"/>
          <w:szCs w:val="32"/>
          <w:lang w:eastAsia="zh-CN"/>
        </w:rPr>
      </w:pPr>
      <w:r>
        <w:rPr>
          <w:rFonts w:hint="eastAsia" w:ascii="楷体" w:hAnsi="楷体" w:eastAsia="楷体" w:cs="楷体"/>
          <w:b/>
          <w:bCs w:val="0"/>
          <w:spacing w:val="5"/>
          <w:sz w:val="32"/>
          <w:szCs w:val="32"/>
          <w:lang w:eastAsia="zh-CN"/>
        </w:rPr>
        <w:t>5.5人员防护</w:t>
      </w:r>
    </w:p>
    <w:p w14:paraId="663DAC48">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参加现场应急救援和处置的人员必须加强风险辨识评估和个人安全防护，落实抢险和控制事态发展的安全措施，避免发生次生灾害，防止事态扩大。</w:t>
      </w:r>
    </w:p>
    <w:p w14:paraId="67072803">
      <w:pPr>
        <w:keepNext w:val="0"/>
        <w:keepLines w:val="0"/>
        <w:pageBreakBefore w:val="0"/>
        <w:kinsoku/>
        <w:wordWrap/>
        <w:overflowPunct/>
        <w:topLinePunct w:val="0"/>
        <w:autoSpaceDE/>
        <w:autoSpaceDN/>
        <w:bidi w:val="0"/>
        <w:adjustRightInd/>
        <w:snapToGrid/>
        <w:spacing w:line="600" w:lineRule="exact"/>
        <w:ind w:firstLine="663" w:firstLineChars="200"/>
        <w:textAlignment w:val="auto"/>
        <w:outlineLvl w:val="0"/>
        <w:rPr>
          <w:rFonts w:hint="eastAsia" w:ascii="楷体" w:hAnsi="楷体" w:eastAsia="楷体" w:cs="楷体"/>
          <w:b/>
          <w:bCs w:val="0"/>
          <w:spacing w:val="5"/>
          <w:sz w:val="32"/>
          <w:szCs w:val="32"/>
          <w:lang w:eastAsia="zh-CN"/>
        </w:rPr>
      </w:pPr>
      <w:r>
        <w:rPr>
          <w:rFonts w:hint="eastAsia" w:ascii="楷体" w:hAnsi="楷体" w:eastAsia="楷体" w:cs="楷体"/>
          <w:b/>
          <w:bCs w:val="0"/>
          <w:spacing w:val="5"/>
          <w:sz w:val="32"/>
          <w:szCs w:val="32"/>
          <w:lang w:eastAsia="zh-CN"/>
        </w:rPr>
        <w:t>5.6应急终止</w:t>
      </w:r>
    </w:p>
    <w:p w14:paraId="1896DD79">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当突发事件的危险状态得到有效控制，应急联动处置工作即告终止。后续工作由相关职能部门负责处理。</w:t>
      </w:r>
    </w:p>
    <w:p w14:paraId="6EBB3163">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 w:hAnsi="仿宋" w:eastAsia="仿宋" w:cs="宋体"/>
          <w:spacing w:val="-7"/>
          <w:sz w:val="32"/>
          <w:szCs w:val="32"/>
          <w:lang w:eastAsia="zh-CN"/>
        </w:rPr>
      </w:pPr>
      <w:r>
        <w:rPr>
          <w:rFonts w:hint="eastAsia" w:ascii="仿宋_GB2312" w:hAnsi="仿宋_GB2312" w:eastAsia="仿宋_GB2312" w:cs="仿宋_GB2312"/>
          <w:spacing w:val="-5"/>
          <w:sz w:val="32"/>
          <w:szCs w:val="32"/>
          <w:lang w:eastAsia="zh-CN"/>
        </w:rPr>
        <w:t>重大、特别重大、一般、较大的突发事件应急联动处置的终止，由上级应急处置指挥部决定。</w:t>
      </w:r>
    </w:p>
    <w:p w14:paraId="1E629947">
      <w:pPr>
        <w:keepNext w:val="0"/>
        <w:keepLines w:val="0"/>
        <w:pageBreakBefore w:val="0"/>
        <w:kinsoku/>
        <w:wordWrap/>
        <w:overflowPunct/>
        <w:topLinePunct w:val="0"/>
        <w:autoSpaceDE/>
        <w:autoSpaceDN/>
        <w:bidi w:val="0"/>
        <w:adjustRightInd/>
        <w:snapToGrid/>
        <w:spacing w:line="600" w:lineRule="exact"/>
        <w:ind w:firstLine="663" w:firstLineChars="200"/>
        <w:textAlignment w:val="auto"/>
        <w:outlineLvl w:val="0"/>
        <w:rPr>
          <w:rFonts w:hint="eastAsia" w:ascii="楷体" w:hAnsi="楷体" w:eastAsia="楷体" w:cs="楷体"/>
          <w:b/>
          <w:bCs w:val="0"/>
          <w:spacing w:val="5"/>
          <w:sz w:val="32"/>
          <w:szCs w:val="32"/>
          <w:lang w:eastAsia="zh-CN"/>
        </w:rPr>
      </w:pPr>
      <w:r>
        <w:rPr>
          <w:rFonts w:hint="eastAsia" w:ascii="楷体" w:hAnsi="楷体" w:eastAsia="楷体" w:cs="楷体"/>
          <w:b/>
          <w:bCs w:val="0"/>
          <w:spacing w:val="5"/>
          <w:sz w:val="32"/>
          <w:szCs w:val="32"/>
          <w:lang w:eastAsia="zh-CN"/>
        </w:rPr>
        <w:t>5.7信息发布</w:t>
      </w:r>
    </w:p>
    <w:p w14:paraId="479F0B70">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 w:hAnsi="仿宋" w:eastAsia="仿宋" w:cs="仿宋"/>
          <w:spacing w:val="-5"/>
          <w:sz w:val="32"/>
          <w:szCs w:val="32"/>
          <w:lang w:eastAsia="zh-CN"/>
        </w:rPr>
        <w:t>5.7.1</w:t>
      </w:r>
      <w:r>
        <w:rPr>
          <w:rFonts w:hint="eastAsia" w:ascii="仿宋_GB2312" w:hAnsi="仿宋_GB2312" w:eastAsia="仿宋_GB2312" w:cs="仿宋_GB2312"/>
          <w:spacing w:val="-5"/>
          <w:sz w:val="32"/>
          <w:szCs w:val="32"/>
          <w:lang w:eastAsia="zh-CN"/>
        </w:rPr>
        <w:t>一涉及地下空间突发事件信息发布工作，书院镇根据区级关职能部门提供发布口径，各相关职能部门配合做好信息发布相关工作。</w:t>
      </w:r>
    </w:p>
    <w:p w14:paraId="3B86AEF0">
      <w:pPr>
        <w:keepNext w:val="0"/>
        <w:keepLines w:val="0"/>
        <w:pageBreakBefore w:val="0"/>
        <w:kinsoku/>
        <w:wordWrap/>
        <w:overflowPunct/>
        <w:topLinePunct w:val="0"/>
        <w:autoSpaceDE/>
        <w:autoSpaceDN/>
        <w:bidi w:val="0"/>
        <w:adjustRightInd/>
        <w:snapToGrid/>
        <w:spacing w:line="600" w:lineRule="exact"/>
        <w:ind w:firstLine="596" w:firstLineChars="200"/>
        <w:textAlignment w:val="auto"/>
        <w:outlineLvl w:val="0"/>
        <w:rPr>
          <w:rFonts w:hint="eastAsia" w:ascii="黑体" w:hAnsi="黑体" w:eastAsia="黑体" w:cs="黑体"/>
          <w:b w:val="0"/>
          <w:bCs w:val="0"/>
          <w:spacing w:val="-11"/>
          <w:sz w:val="32"/>
          <w:szCs w:val="32"/>
          <w:lang w:eastAsia="zh-CN"/>
        </w:rPr>
      </w:pPr>
      <w:r>
        <w:rPr>
          <w:rFonts w:hint="eastAsia" w:ascii="黑体" w:hAnsi="黑体" w:eastAsia="黑体" w:cs="黑体"/>
          <w:b w:val="0"/>
          <w:bCs w:val="0"/>
          <w:spacing w:val="-11"/>
          <w:sz w:val="32"/>
          <w:szCs w:val="32"/>
          <w:lang w:eastAsia="zh-CN"/>
        </w:rPr>
        <w:t>6.后期处置</w:t>
      </w:r>
    </w:p>
    <w:p w14:paraId="38F21291">
      <w:pPr>
        <w:keepNext w:val="0"/>
        <w:keepLines w:val="0"/>
        <w:pageBreakBefore w:val="0"/>
        <w:kinsoku/>
        <w:wordWrap/>
        <w:overflowPunct/>
        <w:topLinePunct w:val="0"/>
        <w:autoSpaceDE/>
        <w:autoSpaceDN/>
        <w:bidi w:val="0"/>
        <w:adjustRightInd/>
        <w:snapToGrid/>
        <w:spacing w:line="600" w:lineRule="exact"/>
        <w:ind w:firstLine="663" w:firstLineChars="200"/>
        <w:textAlignment w:val="auto"/>
        <w:outlineLvl w:val="0"/>
        <w:rPr>
          <w:rFonts w:hint="eastAsia" w:ascii="楷体" w:hAnsi="楷体" w:eastAsia="楷体" w:cs="楷体"/>
          <w:b/>
          <w:bCs w:val="0"/>
          <w:spacing w:val="5"/>
          <w:sz w:val="32"/>
          <w:szCs w:val="32"/>
          <w:lang w:eastAsia="zh-CN"/>
        </w:rPr>
      </w:pPr>
      <w:r>
        <w:rPr>
          <w:rFonts w:hint="eastAsia" w:ascii="楷体" w:hAnsi="楷体" w:eastAsia="楷体" w:cs="楷体"/>
          <w:b/>
          <w:bCs w:val="0"/>
          <w:spacing w:val="5"/>
          <w:sz w:val="32"/>
          <w:szCs w:val="32"/>
          <w:lang w:eastAsia="zh-CN"/>
        </w:rPr>
        <w:t>6.1善后处置</w:t>
      </w:r>
    </w:p>
    <w:p w14:paraId="39BF154D">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 w:hAnsi="仿宋" w:eastAsia="仿宋" w:cs="仿宋"/>
          <w:spacing w:val="-5"/>
          <w:sz w:val="32"/>
          <w:szCs w:val="32"/>
          <w:lang w:eastAsia="zh-CN"/>
        </w:rPr>
        <w:t>6.1.1</w:t>
      </w:r>
      <w:r>
        <w:rPr>
          <w:rFonts w:hint="eastAsia" w:ascii="仿宋_GB2312" w:hAnsi="仿宋_GB2312" w:eastAsia="仿宋_GB2312" w:cs="仿宋_GB2312"/>
          <w:spacing w:val="-5"/>
          <w:sz w:val="32"/>
          <w:szCs w:val="32"/>
          <w:lang w:eastAsia="zh-CN"/>
        </w:rPr>
        <w:t>事发地下空间产权人、物业管理单位和使用单位负责 开展行动结束后的现场清理。如发现突发事件造成的电力、供水、燃气、通信等中断，应立即通知相关部门组织抢修。</w:t>
      </w:r>
    </w:p>
    <w:p w14:paraId="72A0EF87">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 w:hAnsi="仿宋" w:eastAsia="仿宋" w:cs="仿宋"/>
          <w:spacing w:val="-5"/>
          <w:sz w:val="32"/>
          <w:szCs w:val="32"/>
          <w:lang w:eastAsia="zh-CN"/>
        </w:rPr>
        <w:t>6.1.2</w:t>
      </w:r>
      <w:r>
        <w:rPr>
          <w:rFonts w:hint="eastAsia" w:ascii="仿宋_GB2312" w:hAnsi="仿宋_GB2312" w:eastAsia="仿宋_GB2312" w:cs="仿宋_GB2312"/>
          <w:spacing w:val="-5"/>
          <w:sz w:val="32"/>
          <w:szCs w:val="32"/>
          <w:lang w:eastAsia="zh-CN"/>
        </w:rPr>
        <w:t>事故责任单位、平安办、社工办、规建办等主管部门应及时做好受伤人员救治、基本生活救助、家属安抚、保险理赔及现场清理、设施修复等善后工作。</w:t>
      </w:r>
    </w:p>
    <w:p w14:paraId="231215F7">
      <w:pPr>
        <w:keepNext w:val="0"/>
        <w:keepLines w:val="0"/>
        <w:pageBreakBefore w:val="0"/>
        <w:kinsoku/>
        <w:wordWrap/>
        <w:overflowPunct/>
        <w:topLinePunct w:val="0"/>
        <w:autoSpaceDE/>
        <w:autoSpaceDN/>
        <w:bidi w:val="0"/>
        <w:adjustRightInd/>
        <w:snapToGrid/>
        <w:spacing w:line="600" w:lineRule="exact"/>
        <w:ind w:firstLine="663" w:firstLineChars="200"/>
        <w:textAlignment w:val="auto"/>
        <w:outlineLvl w:val="0"/>
        <w:rPr>
          <w:rFonts w:hint="eastAsia" w:ascii="楷体" w:hAnsi="楷体" w:eastAsia="楷体" w:cs="楷体"/>
          <w:b/>
          <w:bCs w:val="0"/>
          <w:spacing w:val="5"/>
          <w:sz w:val="32"/>
          <w:szCs w:val="32"/>
          <w:lang w:eastAsia="zh-CN"/>
        </w:rPr>
      </w:pPr>
      <w:r>
        <w:rPr>
          <w:rFonts w:hint="eastAsia" w:ascii="楷体" w:hAnsi="楷体" w:eastAsia="楷体" w:cs="楷体"/>
          <w:b/>
          <w:bCs w:val="0"/>
          <w:spacing w:val="5"/>
          <w:sz w:val="32"/>
          <w:szCs w:val="32"/>
          <w:lang w:eastAsia="zh-CN"/>
        </w:rPr>
        <w:t>6.2调查与评估</w:t>
      </w:r>
    </w:p>
    <w:p w14:paraId="07E16B64">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书院镇应当及时对事故起因、 经过、性质、影响范围、受损程度、责任及经验教训等，进行调查、核实与评估，认定事故责任。相关报告同时报送区联席办。</w:t>
      </w:r>
    </w:p>
    <w:p w14:paraId="6DE199D1">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特别重大事故、较大事故或者造成人员死亡的一般事故书院镇要配合上级单位进行调查，未造成人员死亡的一般事故由镇里自行组织调查，必要时应当聘请有关专家参与。</w:t>
      </w:r>
    </w:p>
    <w:p w14:paraId="02D6D380">
      <w:pPr>
        <w:keepNext w:val="0"/>
        <w:keepLines w:val="0"/>
        <w:pageBreakBefore w:val="0"/>
        <w:kinsoku/>
        <w:wordWrap/>
        <w:overflowPunct/>
        <w:topLinePunct w:val="0"/>
        <w:autoSpaceDE/>
        <w:autoSpaceDN/>
        <w:bidi w:val="0"/>
        <w:adjustRightInd/>
        <w:snapToGrid/>
        <w:spacing w:line="600" w:lineRule="exact"/>
        <w:ind w:firstLine="663" w:firstLineChars="200"/>
        <w:textAlignment w:val="auto"/>
        <w:outlineLvl w:val="0"/>
        <w:rPr>
          <w:rFonts w:hint="eastAsia" w:ascii="楷体" w:hAnsi="楷体" w:eastAsia="楷体" w:cs="楷体"/>
          <w:b/>
          <w:bCs w:val="0"/>
          <w:spacing w:val="5"/>
          <w:sz w:val="32"/>
          <w:szCs w:val="32"/>
          <w:lang w:eastAsia="zh-CN"/>
        </w:rPr>
      </w:pPr>
      <w:r>
        <w:rPr>
          <w:rFonts w:hint="eastAsia" w:ascii="楷体" w:hAnsi="楷体" w:eastAsia="楷体" w:cs="楷体"/>
          <w:b/>
          <w:bCs w:val="0"/>
          <w:spacing w:val="5"/>
          <w:sz w:val="32"/>
          <w:szCs w:val="32"/>
          <w:lang w:eastAsia="zh-CN"/>
        </w:rPr>
        <w:t>6.3保险与救助</w:t>
      </w:r>
    </w:p>
    <w:p w14:paraId="067C909F">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书院镇有关部门和单位要逐步建立健全突发事件的风险保险体系，鼓励地下空间产权人、物业管理单位和使用单位发挥市场机制，推进安全生产责任保险。</w:t>
      </w:r>
    </w:p>
    <w:p w14:paraId="73C4E34D">
      <w:pPr>
        <w:keepNext w:val="0"/>
        <w:keepLines w:val="0"/>
        <w:pageBreakBefore w:val="0"/>
        <w:kinsoku/>
        <w:wordWrap/>
        <w:overflowPunct/>
        <w:topLinePunct w:val="0"/>
        <w:autoSpaceDE/>
        <w:autoSpaceDN/>
        <w:bidi w:val="0"/>
        <w:adjustRightInd/>
        <w:snapToGrid/>
        <w:spacing w:line="600" w:lineRule="exact"/>
        <w:ind w:firstLine="596" w:firstLineChars="200"/>
        <w:textAlignment w:val="auto"/>
        <w:outlineLvl w:val="0"/>
        <w:rPr>
          <w:rFonts w:hint="eastAsia" w:ascii="黑体" w:hAnsi="黑体" w:eastAsia="黑体" w:cs="黑体"/>
          <w:b w:val="0"/>
          <w:bCs w:val="0"/>
          <w:spacing w:val="-11"/>
          <w:sz w:val="32"/>
          <w:szCs w:val="32"/>
          <w:lang w:eastAsia="zh-CN"/>
        </w:rPr>
      </w:pPr>
      <w:r>
        <w:rPr>
          <w:rFonts w:hint="eastAsia" w:ascii="黑体" w:hAnsi="黑体" w:eastAsia="黑体" w:cs="黑体"/>
          <w:b w:val="0"/>
          <w:bCs w:val="0"/>
          <w:spacing w:val="-11"/>
          <w:sz w:val="32"/>
          <w:szCs w:val="32"/>
          <w:lang w:eastAsia="zh-CN"/>
        </w:rPr>
        <w:t>7．应急保障</w:t>
      </w:r>
    </w:p>
    <w:p w14:paraId="6350F301">
      <w:pPr>
        <w:keepNext w:val="0"/>
        <w:keepLines w:val="0"/>
        <w:pageBreakBefore w:val="0"/>
        <w:kinsoku/>
        <w:wordWrap/>
        <w:overflowPunct/>
        <w:topLinePunct w:val="0"/>
        <w:autoSpaceDE/>
        <w:autoSpaceDN/>
        <w:bidi w:val="0"/>
        <w:adjustRightInd/>
        <w:snapToGrid/>
        <w:spacing w:line="600" w:lineRule="exact"/>
        <w:ind w:firstLine="663" w:firstLineChars="200"/>
        <w:textAlignment w:val="auto"/>
        <w:outlineLvl w:val="0"/>
        <w:rPr>
          <w:rFonts w:hint="eastAsia" w:ascii="楷体" w:hAnsi="楷体" w:eastAsia="楷体" w:cstheme="minorHAnsi"/>
          <w:b/>
          <w:spacing w:val="5"/>
          <w:sz w:val="32"/>
          <w:szCs w:val="32"/>
          <w:lang w:eastAsia="zh-CN"/>
        </w:rPr>
      </w:pPr>
      <w:r>
        <w:rPr>
          <w:rFonts w:hint="eastAsia" w:ascii="楷体" w:hAnsi="楷体" w:eastAsia="楷体" w:cs="楷体"/>
          <w:b/>
          <w:bCs w:val="0"/>
          <w:spacing w:val="5"/>
          <w:sz w:val="32"/>
          <w:szCs w:val="32"/>
          <w:lang w:eastAsia="zh-CN"/>
        </w:rPr>
        <w:t>7.1队伍保障</w:t>
      </w:r>
    </w:p>
    <w:p w14:paraId="3387499A">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由党群办(宣统和组织)、规建办、精细办、社工办、平安办、武装部、城建中心、城运中心、城管中队、经发办、派出所、市场监管所、财政所、消防救援支队和相关居委。 共同组建应急队伍，通过加强应急救援队伍的业务培训，提升地下空间从业人员的专业素质；结合应急预案开展地下空间突发事件应急演练，提高现场处置能力。</w:t>
      </w:r>
    </w:p>
    <w:p w14:paraId="681F636C">
      <w:pPr>
        <w:keepNext w:val="0"/>
        <w:keepLines w:val="0"/>
        <w:pageBreakBefore w:val="0"/>
        <w:kinsoku/>
        <w:wordWrap/>
        <w:overflowPunct/>
        <w:topLinePunct w:val="0"/>
        <w:autoSpaceDE/>
        <w:autoSpaceDN/>
        <w:bidi w:val="0"/>
        <w:adjustRightInd/>
        <w:snapToGrid/>
        <w:spacing w:line="600" w:lineRule="exact"/>
        <w:ind w:firstLine="663" w:firstLineChars="200"/>
        <w:textAlignment w:val="auto"/>
        <w:outlineLvl w:val="0"/>
        <w:rPr>
          <w:rFonts w:hint="eastAsia" w:ascii="楷体" w:hAnsi="楷体" w:eastAsia="楷体" w:cs="楷体"/>
          <w:b/>
          <w:bCs w:val="0"/>
          <w:spacing w:val="5"/>
          <w:sz w:val="32"/>
          <w:szCs w:val="32"/>
          <w:lang w:eastAsia="zh-CN"/>
        </w:rPr>
      </w:pPr>
      <w:r>
        <w:rPr>
          <w:rFonts w:hint="eastAsia" w:ascii="楷体" w:hAnsi="楷体" w:eastAsia="楷体" w:cs="楷体"/>
          <w:b/>
          <w:bCs w:val="0"/>
          <w:spacing w:val="5"/>
          <w:sz w:val="32"/>
          <w:szCs w:val="32"/>
          <w:lang w:eastAsia="zh-CN"/>
        </w:rPr>
        <w:t>7.2装备物资保障</w:t>
      </w:r>
    </w:p>
    <w:p w14:paraId="17361535">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城运中心：共同负责协调相关应急物资的储备、调度和后续供应。</w:t>
      </w:r>
    </w:p>
    <w:p w14:paraId="10D8461C">
      <w:pPr>
        <w:keepNext w:val="0"/>
        <w:keepLines w:val="0"/>
        <w:pageBreakBefore w:val="0"/>
        <w:kinsoku/>
        <w:wordWrap/>
        <w:overflowPunct/>
        <w:topLinePunct w:val="0"/>
        <w:autoSpaceDE/>
        <w:autoSpaceDN/>
        <w:bidi w:val="0"/>
        <w:adjustRightInd/>
        <w:snapToGrid/>
        <w:spacing w:line="600" w:lineRule="exact"/>
        <w:ind w:firstLine="663" w:firstLineChars="200"/>
        <w:textAlignment w:val="auto"/>
        <w:outlineLvl w:val="0"/>
        <w:rPr>
          <w:rFonts w:hint="eastAsia" w:ascii="楷体" w:hAnsi="楷体" w:eastAsia="楷体" w:cs="楷体"/>
          <w:b/>
          <w:bCs w:val="0"/>
          <w:spacing w:val="5"/>
          <w:sz w:val="32"/>
          <w:szCs w:val="32"/>
          <w:lang w:eastAsia="zh-CN"/>
        </w:rPr>
      </w:pPr>
      <w:r>
        <w:rPr>
          <w:rFonts w:hint="eastAsia" w:ascii="楷体" w:hAnsi="楷体" w:eastAsia="楷体" w:cs="楷体"/>
          <w:b/>
          <w:bCs w:val="0"/>
          <w:spacing w:val="5"/>
          <w:sz w:val="32"/>
          <w:szCs w:val="32"/>
          <w:lang w:eastAsia="zh-CN"/>
        </w:rPr>
        <w:t>7.3经费保障</w:t>
      </w:r>
    </w:p>
    <w:p w14:paraId="540647F5">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eastAsia="华文仿宋" w:cs="宋体" w:asciiTheme="majorEastAsia" w:hAnsiTheme="majorEastAsia"/>
          <w:spacing w:val="-7"/>
          <w:sz w:val="30"/>
          <w:szCs w:val="32"/>
          <w:lang w:eastAsia="zh-CN"/>
        </w:rPr>
      </w:pPr>
      <w:r>
        <w:rPr>
          <w:rFonts w:hint="eastAsia" w:ascii="仿宋_GB2312" w:hAnsi="仿宋_GB2312" w:eastAsia="仿宋_GB2312" w:cs="仿宋_GB2312"/>
          <w:spacing w:val="-5"/>
          <w:sz w:val="32"/>
          <w:szCs w:val="32"/>
          <w:lang w:eastAsia="zh-CN"/>
        </w:rPr>
        <w:t>书院镇地下空间突发事件应急管理所需日常工作经费，由镇联席办报请财政部门列入年度预算，由镇财政所做好相关保障工作。</w:t>
      </w:r>
    </w:p>
    <w:p w14:paraId="10036D28">
      <w:pPr>
        <w:keepNext w:val="0"/>
        <w:keepLines w:val="0"/>
        <w:pageBreakBefore w:val="0"/>
        <w:kinsoku/>
        <w:wordWrap/>
        <w:overflowPunct/>
        <w:topLinePunct w:val="0"/>
        <w:autoSpaceDE/>
        <w:autoSpaceDN/>
        <w:bidi w:val="0"/>
        <w:adjustRightInd/>
        <w:snapToGrid/>
        <w:spacing w:line="600" w:lineRule="exact"/>
        <w:ind w:firstLine="663" w:firstLineChars="200"/>
        <w:textAlignment w:val="auto"/>
        <w:outlineLvl w:val="0"/>
        <w:rPr>
          <w:rFonts w:hint="eastAsia" w:ascii="楷体" w:hAnsi="楷体" w:eastAsia="楷体" w:cs="楷体"/>
          <w:b/>
          <w:bCs w:val="0"/>
          <w:spacing w:val="5"/>
          <w:sz w:val="32"/>
          <w:szCs w:val="32"/>
          <w:lang w:eastAsia="zh-CN"/>
        </w:rPr>
      </w:pPr>
      <w:r>
        <w:rPr>
          <w:rFonts w:hint="eastAsia" w:ascii="楷体" w:hAnsi="楷体" w:eastAsia="楷体" w:cs="楷体"/>
          <w:b/>
          <w:bCs w:val="0"/>
          <w:spacing w:val="5"/>
          <w:sz w:val="32"/>
          <w:szCs w:val="32"/>
          <w:lang w:eastAsia="zh-CN"/>
        </w:rPr>
        <w:t>7.4其他相关保障</w:t>
      </w:r>
    </w:p>
    <w:p w14:paraId="6E7F4144">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书院镇地下空间突发事件应急处置过程中涉及的交通、医疗、治安、通信和信息等其他相关保障措施，依据《浦东新区处置突发事件专项应急预案》的有关要求执行。</w:t>
      </w:r>
    </w:p>
    <w:p w14:paraId="22F7AE36">
      <w:pPr>
        <w:keepNext w:val="0"/>
        <w:keepLines w:val="0"/>
        <w:pageBreakBefore w:val="0"/>
        <w:kinsoku/>
        <w:wordWrap/>
        <w:overflowPunct/>
        <w:topLinePunct w:val="0"/>
        <w:autoSpaceDE/>
        <w:autoSpaceDN/>
        <w:bidi w:val="0"/>
        <w:adjustRightInd/>
        <w:snapToGrid/>
        <w:spacing w:line="600" w:lineRule="exact"/>
        <w:ind w:firstLine="596" w:firstLineChars="200"/>
        <w:textAlignment w:val="auto"/>
        <w:outlineLvl w:val="0"/>
        <w:rPr>
          <w:rFonts w:hint="eastAsia" w:ascii="黑体" w:hAnsi="黑体" w:eastAsia="黑体" w:cs="黑体"/>
          <w:b w:val="0"/>
          <w:bCs w:val="0"/>
          <w:spacing w:val="-11"/>
          <w:sz w:val="32"/>
          <w:szCs w:val="32"/>
          <w:lang w:eastAsia="zh-CN"/>
        </w:rPr>
      </w:pPr>
      <w:r>
        <w:rPr>
          <w:rFonts w:hint="eastAsia" w:ascii="黑体" w:hAnsi="黑体" w:eastAsia="黑体" w:cs="黑体"/>
          <w:b w:val="0"/>
          <w:bCs w:val="0"/>
          <w:spacing w:val="-11"/>
          <w:sz w:val="32"/>
          <w:szCs w:val="32"/>
          <w:lang w:eastAsia="zh-CN"/>
        </w:rPr>
        <w:t>8．监督管理</w:t>
      </w:r>
    </w:p>
    <w:p w14:paraId="12E325A9">
      <w:pPr>
        <w:keepNext w:val="0"/>
        <w:keepLines w:val="0"/>
        <w:pageBreakBefore w:val="0"/>
        <w:kinsoku/>
        <w:wordWrap/>
        <w:overflowPunct/>
        <w:topLinePunct w:val="0"/>
        <w:autoSpaceDE/>
        <w:autoSpaceDN/>
        <w:bidi w:val="0"/>
        <w:adjustRightInd/>
        <w:snapToGrid/>
        <w:spacing w:line="600" w:lineRule="exact"/>
        <w:ind w:firstLine="663" w:firstLineChars="200"/>
        <w:textAlignment w:val="auto"/>
        <w:outlineLvl w:val="0"/>
        <w:rPr>
          <w:rFonts w:hint="eastAsia" w:ascii="楷体" w:hAnsi="楷体" w:eastAsia="楷体" w:cs="楷体"/>
          <w:b/>
          <w:bCs w:val="0"/>
          <w:spacing w:val="5"/>
          <w:sz w:val="32"/>
          <w:szCs w:val="32"/>
          <w:lang w:eastAsia="zh-CN"/>
        </w:rPr>
      </w:pPr>
      <w:r>
        <w:rPr>
          <w:rFonts w:hint="eastAsia" w:ascii="楷体" w:hAnsi="楷体" w:eastAsia="楷体" w:cs="楷体"/>
          <w:b/>
          <w:bCs w:val="0"/>
          <w:spacing w:val="5"/>
          <w:sz w:val="32"/>
          <w:szCs w:val="32"/>
          <w:lang w:eastAsia="zh-CN"/>
        </w:rPr>
        <w:t>8.1宣传教育</w:t>
      </w:r>
    </w:p>
    <w:p w14:paraId="2F288848">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联席办及相关职能部门做好地下空间安全使用管理宣传，按年度计划定期开展社会宣传活动，做好相关培训教育工作。</w:t>
      </w:r>
    </w:p>
    <w:p w14:paraId="4100FB5D">
      <w:pPr>
        <w:keepNext w:val="0"/>
        <w:keepLines w:val="0"/>
        <w:pageBreakBefore w:val="0"/>
        <w:kinsoku/>
        <w:wordWrap/>
        <w:overflowPunct/>
        <w:topLinePunct w:val="0"/>
        <w:autoSpaceDE/>
        <w:autoSpaceDN/>
        <w:bidi w:val="0"/>
        <w:adjustRightInd/>
        <w:snapToGrid/>
        <w:spacing w:line="600" w:lineRule="exact"/>
        <w:ind w:firstLine="663" w:firstLineChars="200"/>
        <w:textAlignment w:val="auto"/>
        <w:outlineLvl w:val="0"/>
        <w:rPr>
          <w:rFonts w:hint="eastAsia" w:ascii="楷体" w:hAnsi="楷体" w:eastAsia="楷体" w:cs="楷体"/>
          <w:b/>
          <w:bCs w:val="0"/>
          <w:spacing w:val="5"/>
          <w:sz w:val="32"/>
          <w:szCs w:val="32"/>
          <w:lang w:eastAsia="zh-CN"/>
        </w:rPr>
      </w:pPr>
      <w:r>
        <w:rPr>
          <w:rFonts w:hint="eastAsia" w:ascii="楷体" w:hAnsi="楷体" w:eastAsia="楷体" w:cs="楷体"/>
          <w:b/>
          <w:bCs w:val="0"/>
          <w:spacing w:val="5"/>
          <w:sz w:val="32"/>
          <w:szCs w:val="32"/>
          <w:lang w:eastAsia="zh-CN"/>
        </w:rPr>
        <w:t>8.2培训演练</w:t>
      </w:r>
    </w:p>
    <w:p w14:paraId="5DB7E404">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书院镇地下空间产权人、物业管理单位和使用单位结合本预案进一步细化地下空间突发事件应急处置流程，注重操作性和实用性，组织进行专业培训、实操演练，练指挥、练响应、明职责、熟流程，确保应急联动机制运行顺畅，切实提高处置效能。</w:t>
      </w:r>
    </w:p>
    <w:p w14:paraId="72B3675C">
      <w:pPr>
        <w:keepNext w:val="0"/>
        <w:keepLines w:val="0"/>
        <w:pageBreakBefore w:val="0"/>
        <w:kinsoku/>
        <w:wordWrap/>
        <w:overflowPunct/>
        <w:topLinePunct w:val="0"/>
        <w:autoSpaceDE/>
        <w:autoSpaceDN/>
        <w:bidi w:val="0"/>
        <w:adjustRightInd/>
        <w:snapToGrid/>
        <w:spacing w:line="600" w:lineRule="exact"/>
        <w:ind w:firstLine="663" w:firstLineChars="200"/>
        <w:textAlignment w:val="auto"/>
        <w:outlineLvl w:val="0"/>
        <w:rPr>
          <w:rFonts w:hint="eastAsia" w:ascii="楷体" w:hAnsi="楷体" w:eastAsia="楷体" w:cstheme="minorHAnsi"/>
          <w:b/>
          <w:spacing w:val="5"/>
          <w:sz w:val="32"/>
          <w:szCs w:val="32"/>
          <w:lang w:eastAsia="zh-CN"/>
        </w:rPr>
      </w:pPr>
      <w:r>
        <w:rPr>
          <w:rFonts w:ascii="楷体" w:hAnsi="楷体" w:eastAsia="楷体" w:cstheme="minorHAnsi"/>
          <w:b/>
          <w:spacing w:val="5"/>
          <w:sz w:val="32"/>
          <w:szCs w:val="32"/>
          <w:lang w:eastAsia="zh-CN"/>
        </w:rPr>
        <w:t>8.3预案管理</w:t>
      </w:r>
    </w:p>
    <w:p w14:paraId="355DA63C">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 w:hAnsi="仿宋" w:eastAsia="仿宋" w:cs="仿宋"/>
          <w:spacing w:val="-5"/>
          <w:sz w:val="32"/>
          <w:szCs w:val="32"/>
          <w:lang w:eastAsia="zh-CN"/>
        </w:rPr>
        <w:sectPr>
          <w:footerReference r:id="rId4" w:type="default"/>
          <w:headerReference r:id="rId3" w:type="even"/>
          <w:footerReference r:id="rId5" w:type="even"/>
          <w:pgSz w:w="11970" w:h="16900"/>
          <w:pgMar w:top="2098" w:right="1587" w:bottom="1984" w:left="1587" w:header="850" w:footer="992" w:gutter="0"/>
          <w:pgNumType w:fmt="decimal"/>
          <w:cols w:equalWidth="0" w:num="1">
            <w:col w:w="8456"/>
          </w:cols>
          <w:rtlGutter w:val="0"/>
          <w:docGrid w:linePitch="286" w:charSpace="0"/>
        </w:sectPr>
      </w:pPr>
    </w:p>
    <w:p w14:paraId="67912290">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 w:hAnsi="仿宋" w:eastAsia="仿宋" w:cs="仿宋"/>
          <w:spacing w:val="-5"/>
          <w:sz w:val="32"/>
          <w:szCs w:val="32"/>
          <w:lang w:eastAsia="zh-CN"/>
        </w:rPr>
        <w:t>8.3.1</w:t>
      </w:r>
      <w:r>
        <w:rPr>
          <w:rFonts w:hint="eastAsia" w:ascii="仿宋_GB2312" w:hAnsi="仿宋_GB2312" w:eastAsia="仿宋_GB2312" w:cs="仿宋_GB2312"/>
          <w:spacing w:val="-5"/>
          <w:sz w:val="32"/>
          <w:szCs w:val="32"/>
          <w:lang w:eastAsia="zh-CN"/>
        </w:rPr>
        <w:t>预案解释</w:t>
      </w:r>
    </w:p>
    <w:p w14:paraId="45E7EF1D">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本预案由书院镇联席办负责解释。</w:t>
      </w:r>
    </w:p>
    <w:p w14:paraId="6DCD0E96">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 w:hAnsi="仿宋" w:eastAsia="仿宋" w:cs="仿宋"/>
          <w:spacing w:val="-5"/>
          <w:sz w:val="32"/>
          <w:szCs w:val="32"/>
          <w:lang w:eastAsia="zh-CN"/>
        </w:rPr>
        <w:t>8.3.2</w:t>
      </w:r>
      <w:r>
        <w:rPr>
          <w:rFonts w:hint="eastAsia" w:ascii="仿宋_GB2312" w:hAnsi="仿宋_GB2312" w:eastAsia="仿宋_GB2312" w:cs="仿宋_GB2312"/>
          <w:spacing w:val="-5"/>
          <w:sz w:val="32"/>
          <w:szCs w:val="32"/>
          <w:lang w:eastAsia="zh-CN"/>
        </w:rPr>
        <w:t xml:space="preserve">预案修订   </w:t>
      </w:r>
    </w:p>
    <w:p w14:paraId="6EB595A3">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本预案由联席办根据实际情况，适时评估修订。</w:t>
      </w:r>
    </w:p>
    <w:p w14:paraId="473A85E0">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 w:hAnsi="仿宋" w:eastAsia="仿宋" w:cs="仿宋"/>
          <w:spacing w:val="-5"/>
          <w:sz w:val="32"/>
          <w:szCs w:val="32"/>
          <w:lang w:eastAsia="zh-CN"/>
        </w:rPr>
        <w:t>8.3.3</w:t>
      </w:r>
      <w:r>
        <w:rPr>
          <w:rFonts w:hint="eastAsia" w:ascii="仿宋_GB2312" w:hAnsi="仿宋_GB2312" w:eastAsia="仿宋_GB2312" w:cs="仿宋_GB2312"/>
          <w:spacing w:val="-5"/>
          <w:sz w:val="32"/>
          <w:szCs w:val="32"/>
          <w:lang w:eastAsia="zh-CN"/>
        </w:rPr>
        <w:t>预案实施</w:t>
      </w:r>
    </w:p>
    <w:p w14:paraId="2B2EBF5D">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本预案由联席办组织实施。联席办对本预案的实施情况进行监督检查，督促有关单位采取措施，落实整改情况</w:t>
      </w:r>
    </w:p>
    <w:p w14:paraId="3B701639">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 w:hAnsi="仿宋" w:eastAsia="仿宋" w:cs="仿宋"/>
          <w:spacing w:val="-5"/>
          <w:sz w:val="32"/>
          <w:szCs w:val="32"/>
          <w:lang w:eastAsia="zh-CN"/>
        </w:rPr>
        <w:t>8.3.4</w:t>
      </w:r>
      <w:r>
        <w:rPr>
          <w:rFonts w:hint="eastAsia" w:ascii="仿宋_GB2312" w:hAnsi="仿宋_GB2312" w:eastAsia="仿宋_GB2312" w:cs="仿宋_GB2312"/>
          <w:spacing w:val="-5"/>
          <w:sz w:val="32"/>
          <w:szCs w:val="32"/>
          <w:lang w:eastAsia="zh-CN"/>
        </w:rPr>
        <w:t>其他</w:t>
      </w:r>
    </w:p>
    <w:p w14:paraId="56114E77">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本预案自印发之日起实施，有效期</w:t>
      </w:r>
      <w:r>
        <w:rPr>
          <w:rFonts w:hint="eastAsia" w:ascii="Times New Roman" w:hAnsi="Times New Roman" w:eastAsia="仿宋_GB2312"/>
          <w:bCs/>
          <w:sz w:val="32"/>
          <w:lang w:eastAsia="zh-CN"/>
        </w:rPr>
        <w:t>5</w:t>
      </w:r>
      <w:r>
        <w:rPr>
          <w:rFonts w:hint="eastAsia" w:ascii="仿宋_GB2312" w:hAnsi="仿宋_GB2312" w:eastAsia="仿宋_GB2312" w:cs="仿宋_GB2312"/>
          <w:spacing w:val="-5"/>
          <w:sz w:val="32"/>
          <w:szCs w:val="32"/>
          <w:lang w:eastAsia="zh-CN"/>
        </w:rPr>
        <w:t>年。</w:t>
      </w:r>
    </w:p>
    <w:p w14:paraId="5D778687">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default" w:ascii="仿宋_GB2312" w:hAnsi="仿宋_GB2312" w:eastAsia="仿宋_GB2312" w:cs="仿宋_GB2312"/>
          <w:spacing w:val="-5"/>
          <w:sz w:val="32"/>
          <w:szCs w:val="32"/>
          <w:lang w:val="en-US" w:eastAsia="zh-CN"/>
        </w:rPr>
      </w:pPr>
    </w:p>
    <w:p w14:paraId="70FC0930">
      <w:pPr>
        <w:keepNext w:val="0"/>
        <w:keepLines w:val="0"/>
        <w:pageBreakBefore w:val="0"/>
        <w:kinsoku/>
        <w:wordWrap/>
        <w:overflowPunct/>
        <w:topLinePunct w:val="0"/>
        <w:autoSpaceDE/>
        <w:autoSpaceDN/>
        <w:bidi w:val="0"/>
        <w:adjustRightInd/>
        <w:snapToGrid/>
        <w:spacing w:line="600" w:lineRule="exact"/>
        <w:ind w:firstLine="62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附件：</w:t>
      </w:r>
      <w:r>
        <w:rPr>
          <w:rFonts w:hint="eastAsia" w:ascii="Times New Roman" w:hAnsi="Times New Roman" w:eastAsia="仿宋_GB2312"/>
          <w:bCs/>
          <w:sz w:val="32"/>
          <w:lang w:eastAsia="zh-CN"/>
        </w:rPr>
        <w:t>1.</w:t>
      </w:r>
      <w:r>
        <w:rPr>
          <w:rFonts w:hint="eastAsia" w:ascii="仿宋_GB2312" w:hAnsi="仿宋_GB2312" w:eastAsia="仿宋_GB2312" w:cs="仿宋_GB2312"/>
          <w:spacing w:val="-5"/>
          <w:sz w:val="32"/>
          <w:szCs w:val="32"/>
          <w:lang w:eastAsia="zh-CN"/>
        </w:rPr>
        <w:t>相关单位及职责</w:t>
      </w:r>
    </w:p>
    <w:p w14:paraId="0FF96E1A">
      <w:pPr>
        <w:keepNext w:val="0"/>
        <w:keepLines w:val="0"/>
        <w:pageBreakBefore w:val="0"/>
        <w:numPr>
          <w:ilvl w:val="0"/>
          <w:numId w:val="0"/>
        </w:numPr>
        <w:kinsoku/>
        <w:wordWrap/>
        <w:overflowPunct/>
        <w:topLinePunct w:val="0"/>
        <w:autoSpaceDE/>
        <w:autoSpaceDN/>
        <w:bidi w:val="0"/>
        <w:adjustRightInd/>
        <w:snapToGrid/>
        <w:spacing w:line="600" w:lineRule="exact"/>
        <w:ind w:firstLine="1600" w:firstLineChars="500"/>
        <w:jc w:val="both"/>
        <w:textAlignment w:val="auto"/>
        <w:rPr>
          <w:rFonts w:hint="eastAsia" w:ascii="仿宋_GB2312" w:hAnsi="仿宋_GB2312" w:eastAsia="仿宋_GB2312" w:cs="仿宋_GB2312"/>
          <w:spacing w:val="-5"/>
          <w:sz w:val="32"/>
          <w:szCs w:val="32"/>
          <w:lang w:eastAsia="zh-CN"/>
        </w:rPr>
      </w:pPr>
      <w:r>
        <w:rPr>
          <w:rFonts w:hint="eastAsia" w:ascii="Times New Roman" w:hAnsi="Times New Roman" w:eastAsia="仿宋_GB2312"/>
          <w:bCs/>
          <w:sz w:val="32"/>
          <w:lang w:val="en-US" w:eastAsia="zh-CN"/>
        </w:rPr>
        <w:t>2.</w:t>
      </w:r>
      <w:r>
        <w:rPr>
          <w:rFonts w:hint="eastAsia" w:ascii="仿宋_GB2312" w:hAnsi="仿宋_GB2312" w:eastAsia="仿宋_GB2312" w:cs="仿宋_GB2312"/>
          <w:spacing w:val="-5"/>
          <w:sz w:val="32"/>
          <w:szCs w:val="32"/>
          <w:lang w:eastAsia="zh-CN"/>
        </w:rPr>
        <w:t>地下空间突发事件应急处置流程图</w:t>
      </w:r>
    </w:p>
    <w:p w14:paraId="535DC678">
      <w:pPr>
        <w:keepNext w:val="0"/>
        <w:keepLines w:val="0"/>
        <w:pageBreakBefore w:val="0"/>
        <w:widowControl w:val="0"/>
        <w:numPr>
          <w:ilvl w:val="0"/>
          <w:numId w:val="0"/>
        </w:numPr>
        <w:kinsoku/>
        <w:wordWrap/>
        <w:overflowPunct/>
        <w:topLinePunct w:val="0"/>
        <w:autoSpaceDE/>
        <w:autoSpaceDN/>
        <w:bidi w:val="0"/>
        <w:adjustRightInd/>
        <w:snapToGrid/>
        <w:spacing w:line="880" w:lineRule="exact"/>
        <w:jc w:val="both"/>
        <w:textAlignment w:val="auto"/>
        <w:rPr>
          <w:rFonts w:hint="eastAsia" w:ascii="仿宋_GB2312" w:hAnsi="仿宋_GB2312" w:eastAsia="仿宋_GB2312" w:cs="仿宋_GB2312"/>
          <w:spacing w:val="-5"/>
          <w:sz w:val="32"/>
          <w:szCs w:val="32"/>
          <w:lang w:eastAsia="zh-CN"/>
        </w:rPr>
      </w:pPr>
    </w:p>
    <w:p w14:paraId="23ED6ADF">
      <w:pPr>
        <w:keepNext w:val="0"/>
        <w:keepLines w:val="0"/>
        <w:pageBreakBefore w:val="0"/>
        <w:widowControl w:val="0"/>
        <w:numPr>
          <w:ilvl w:val="0"/>
          <w:numId w:val="0"/>
        </w:numPr>
        <w:kinsoku/>
        <w:wordWrap/>
        <w:overflowPunct/>
        <w:topLinePunct w:val="0"/>
        <w:autoSpaceDE/>
        <w:autoSpaceDN/>
        <w:bidi w:val="0"/>
        <w:adjustRightInd/>
        <w:snapToGrid/>
        <w:spacing w:line="880" w:lineRule="exact"/>
        <w:jc w:val="both"/>
        <w:textAlignment w:val="auto"/>
        <w:rPr>
          <w:rFonts w:hint="eastAsia" w:ascii="仿宋_GB2312" w:hAnsi="仿宋_GB2312" w:eastAsia="仿宋_GB2312" w:cs="仿宋_GB2312"/>
          <w:spacing w:val="-5"/>
          <w:sz w:val="32"/>
          <w:szCs w:val="32"/>
          <w:lang w:eastAsia="zh-CN"/>
        </w:rPr>
      </w:pPr>
    </w:p>
    <w:p w14:paraId="0185F1CE">
      <w:pPr>
        <w:keepNext w:val="0"/>
        <w:keepLines w:val="0"/>
        <w:pageBreakBefore w:val="0"/>
        <w:widowControl w:val="0"/>
        <w:numPr>
          <w:ilvl w:val="0"/>
          <w:numId w:val="0"/>
        </w:numPr>
        <w:kinsoku/>
        <w:wordWrap/>
        <w:overflowPunct/>
        <w:topLinePunct w:val="0"/>
        <w:autoSpaceDE/>
        <w:autoSpaceDN/>
        <w:bidi w:val="0"/>
        <w:adjustRightInd/>
        <w:snapToGrid/>
        <w:spacing w:line="980" w:lineRule="exact"/>
        <w:jc w:val="both"/>
        <w:textAlignment w:val="auto"/>
        <w:rPr>
          <w:rFonts w:hint="eastAsia" w:ascii="仿宋_GB2312" w:hAnsi="仿宋_GB2312" w:eastAsia="仿宋_GB2312" w:cs="仿宋_GB2312"/>
          <w:spacing w:val="-5"/>
          <w:sz w:val="32"/>
          <w:szCs w:val="32"/>
          <w:lang w:eastAsia="zh-CN"/>
        </w:rPr>
      </w:pPr>
    </w:p>
    <w:p w14:paraId="2225FE0E">
      <w:pPr>
        <w:keepNext w:val="0"/>
        <w:keepLines w:val="0"/>
        <w:pageBreakBefore w:val="0"/>
        <w:widowControl w:val="0"/>
        <w:numPr>
          <w:ilvl w:val="0"/>
          <w:numId w:val="0"/>
        </w:numPr>
        <w:kinsoku/>
        <w:wordWrap/>
        <w:overflowPunct/>
        <w:topLinePunct w:val="0"/>
        <w:autoSpaceDE/>
        <w:autoSpaceDN/>
        <w:bidi w:val="0"/>
        <w:adjustRightInd/>
        <w:snapToGrid/>
        <w:spacing w:line="980" w:lineRule="exact"/>
        <w:jc w:val="both"/>
        <w:textAlignment w:val="auto"/>
        <w:rPr>
          <w:rFonts w:hint="eastAsia" w:ascii="仿宋_GB2312" w:hAnsi="仿宋_GB2312" w:eastAsia="仿宋_GB2312" w:cs="仿宋_GB2312"/>
          <w:spacing w:val="-5"/>
          <w:sz w:val="32"/>
          <w:szCs w:val="32"/>
          <w:lang w:eastAsia="zh-CN"/>
        </w:rPr>
      </w:pPr>
    </w:p>
    <w:p w14:paraId="5389C010">
      <w:pPr>
        <w:pStyle w:val="3"/>
        <w:keepNext w:val="0"/>
        <w:keepLines w:val="0"/>
        <w:pageBreakBefore w:val="0"/>
        <w:widowControl w:val="0"/>
        <w:kinsoku/>
        <w:wordWrap/>
        <w:overflowPunct/>
        <w:topLinePunct w:val="0"/>
        <w:autoSpaceDE/>
        <w:autoSpaceDN/>
        <w:bidi w:val="0"/>
        <w:adjustRightInd/>
        <w:snapToGrid/>
        <w:spacing w:line="980" w:lineRule="exact"/>
        <w:ind w:left="0" w:leftChars="0" w:firstLine="0" w:firstLineChars="0"/>
        <w:textAlignment w:val="auto"/>
        <w:rPr>
          <w:rFonts w:hint="eastAsia" w:ascii="Times New Roman" w:hAnsi="Times New Roman" w:eastAsia="仿宋_GB2312" w:cs="Times New Roman"/>
          <w:sz w:val="32"/>
          <w:szCs w:val="32"/>
        </w:rPr>
      </w:pPr>
    </w:p>
    <w:p w14:paraId="1F8073AB">
      <w:pPr>
        <w:keepNext w:val="0"/>
        <w:keepLines w:val="0"/>
        <w:pageBreakBefore w:val="0"/>
        <w:widowControl w:val="0"/>
        <w:pBdr>
          <w:top w:val="single" w:color="auto" w:sz="4" w:space="0"/>
          <w:bottom w:val="single" w:color="auto" w:sz="4" w:space="0"/>
        </w:pBdr>
        <w:tabs>
          <w:tab w:val="left" w:pos="4500"/>
        </w:tabs>
        <w:kinsoku/>
        <w:wordWrap/>
        <w:overflowPunct/>
        <w:topLinePunct w:val="0"/>
        <w:autoSpaceDE/>
        <w:autoSpaceDN/>
        <w:bidi w:val="0"/>
        <w:adjustRightInd/>
        <w:snapToGrid/>
        <w:spacing w:line="720" w:lineRule="exact"/>
        <w:textAlignment w:val="auto"/>
        <w:rPr>
          <w:rFonts w:hint="eastAsia" w:ascii="仿宋_GB2312" w:hAnsi="仿宋_GB2312" w:eastAsia="仿宋_GB2312" w:cs="仿宋_GB2312"/>
          <w:b/>
          <w:spacing w:val="-7"/>
          <w:sz w:val="32"/>
          <w:szCs w:val="32"/>
          <w:lang w:eastAsia="zh-CN"/>
        </w:rPr>
        <w:sectPr>
          <w:footerReference r:id="rId6" w:type="default"/>
          <w:pgSz w:w="11970" w:h="16900"/>
          <w:pgMar w:top="2098" w:right="1587" w:bottom="1984" w:left="1587" w:header="850" w:footer="992" w:gutter="0"/>
          <w:pgNumType w:fmt="decimal"/>
          <w:cols w:equalWidth="0" w:num="1">
            <w:col w:w="8456"/>
          </w:cols>
          <w:rtlGutter w:val="0"/>
          <w:docGrid w:linePitch="286" w:charSpace="0"/>
        </w:sectPr>
      </w:pPr>
      <w:r>
        <w:rPr>
          <w:rFonts w:ascii="Times New Roman" w:hAnsi="Times New Roman" w:eastAsia="仿宋_GB2312"/>
          <w:spacing w:val="-10"/>
          <w:sz w:val="28"/>
          <w:szCs w:val="28"/>
        </w:rPr>
        <w:t xml:space="preserve">  </w:t>
      </w:r>
      <w:r>
        <w:rPr>
          <w:rFonts w:ascii="Times New Roman" w:hAnsi="Times New Roman" w:eastAsia="仿宋_GB2312"/>
          <w:position w:val="6"/>
          <w:sz w:val="28"/>
          <w:szCs w:val="28"/>
        </w:rPr>
        <w:t xml:space="preserve">浦东新区书院镇党政办公室            </w:t>
      </w:r>
      <w:r>
        <w:rPr>
          <w:rFonts w:hint="eastAsia" w:ascii="Times New Roman" w:hAnsi="Times New Roman" w:eastAsia="仿宋_GB2312"/>
          <w:position w:val="6"/>
          <w:sz w:val="28"/>
          <w:szCs w:val="28"/>
          <w:lang w:val="en-US" w:eastAsia="zh-CN"/>
        </w:rPr>
        <w:t xml:space="preserve"> </w:t>
      </w:r>
      <w:r>
        <w:rPr>
          <w:rFonts w:ascii="Times New Roman" w:hAnsi="Times New Roman" w:eastAsia="仿宋_GB2312"/>
          <w:position w:val="6"/>
          <w:sz w:val="28"/>
          <w:szCs w:val="28"/>
        </w:rPr>
        <w:t xml:space="preserve"> </w:t>
      </w:r>
      <w:r>
        <w:rPr>
          <w:rFonts w:hint="eastAsia" w:ascii="Times New Roman" w:hAnsi="Times New Roman" w:eastAsia="仿宋_GB2312"/>
          <w:position w:val="6"/>
          <w:sz w:val="28"/>
          <w:szCs w:val="28"/>
          <w:lang w:val="en-US" w:eastAsia="zh-CN"/>
        </w:rPr>
        <w:t xml:space="preserve">   </w:t>
      </w:r>
      <w:r>
        <w:rPr>
          <w:rFonts w:ascii="Times New Roman" w:hAnsi="Times New Roman" w:eastAsia="仿宋_GB2312"/>
          <w:position w:val="6"/>
          <w:sz w:val="28"/>
          <w:szCs w:val="28"/>
        </w:rPr>
        <w:t>202</w:t>
      </w:r>
      <w:r>
        <w:rPr>
          <w:rFonts w:hint="eastAsia" w:ascii="Times New Roman" w:hAnsi="Times New Roman" w:eastAsia="仿宋_GB2312"/>
          <w:position w:val="6"/>
          <w:sz w:val="28"/>
          <w:szCs w:val="28"/>
          <w:lang w:val="en-US" w:eastAsia="zh-CN"/>
        </w:rPr>
        <w:t>4</w:t>
      </w:r>
      <w:r>
        <w:rPr>
          <w:rFonts w:ascii="Times New Roman" w:hAnsi="Times New Roman" w:eastAsia="仿宋_GB2312"/>
          <w:position w:val="6"/>
          <w:sz w:val="28"/>
          <w:szCs w:val="28"/>
        </w:rPr>
        <w:t>年</w:t>
      </w:r>
      <w:r>
        <w:rPr>
          <w:rFonts w:hint="eastAsia" w:ascii="Times New Roman" w:hAnsi="Times New Roman" w:eastAsia="仿宋_GB2312"/>
          <w:position w:val="6"/>
          <w:sz w:val="28"/>
          <w:szCs w:val="28"/>
          <w:lang w:val="en-US" w:eastAsia="zh-CN"/>
        </w:rPr>
        <w:t>8</w:t>
      </w:r>
      <w:r>
        <w:rPr>
          <w:rFonts w:ascii="Times New Roman" w:hAnsi="Times New Roman" w:eastAsia="仿宋_GB2312"/>
          <w:position w:val="6"/>
          <w:sz w:val="28"/>
          <w:szCs w:val="28"/>
        </w:rPr>
        <w:t>月</w:t>
      </w:r>
      <w:r>
        <w:rPr>
          <w:rFonts w:hint="eastAsia" w:ascii="Times New Roman" w:hAnsi="Times New Roman" w:eastAsia="仿宋_GB2312"/>
          <w:position w:val="6"/>
          <w:sz w:val="28"/>
          <w:szCs w:val="28"/>
          <w:lang w:val="en-US" w:eastAsia="zh-CN"/>
        </w:rPr>
        <w:t>8</w:t>
      </w:r>
      <w:r>
        <w:rPr>
          <w:rFonts w:ascii="Times New Roman" w:hAnsi="Times New Roman" w:eastAsia="仿宋_GB2312"/>
          <w:position w:val="6"/>
          <w:sz w:val="28"/>
          <w:szCs w:val="28"/>
        </w:rPr>
        <w:t>日印发</w:t>
      </w:r>
    </w:p>
    <w:p w14:paraId="145273EE">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pacing w:val="-5"/>
          <w:sz w:val="32"/>
          <w:szCs w:val="32"/>
          <w:lang w:eastAsia="zh-CN"/>
        </w:rPr>
      </w:pPr>
    </w:p>
    <w:p w14:paraId="5ABEF671">
      <w:pPr>
        <w:keepNext w:val="0"/>
        <w:keepLines w:val="0"/>
        <w:pageBreakBefore w:val="0"/>
        <w:kinsoku/>
        <w:wordWrap/>
        <w:overflowPunct/>
        <w:topLinePunct w:val="0"/>
        <w:bidi w:val="0"/>
        <w:spacing w:line="600" w:lineRule="exact"/>
        <w:rPr>
          <w:rFonts w:hint="eastAsia" w:eastAsia="华文仿宋" w:cs="宋体" w:asciiTheme="majorEastAsia" w:hAnsiTheme="majorEastAsia"/>
          <w:spacing w:val="-7"/>
          <w:sz w:val="32"/>
          <w:szCs w:val="32"/>
          <w:lang w:eastAsia="zh-CN"/>
        </w:rPr>
      </w:pPr>
      <w:r>
        <w:rPr>
          <w:rFonts w:ascii="黑体" w:hAnsi="黑体" w:eastAsia="黑体" w:cs="黑体"/>
          <w:b w:val="0"/>
          <w:bCs w:val="0"/>
          <w:spacing w:val="8"/>
          <w:sz w:val="32"/>
          <w:szCs w:val="32"/>
          <w:lang w:eastAsia="zh-CN"/>
        </w:rPr>
        <w:t>附件</w:t>
      </w:r>
      <w:r>
        <w:rPr>
          <w:rFonts w:hint="default" w:ascii="Times New Roman" w:hAnsi="Times New Roman" w:eastAsia="黑体" w:cs="Times New Roman"/>
          <w:b w:val="0"/>
          <w:bCs w:val="0"/>
          <w:spacing w:val="8"/>
          <w:sz w:val="32"/>
          <w:szCs w:val="32"/>
          <w:lang w:eastAsia="zh-CN"/>
        </w:rPr>
        <w:t>1</w:t>
      </w:r>
    </w:p>
    <w:p w14:paraId="6B014469">
      <w:pPr>
        <w:pStyle w:val="4"/>
        <w:keepNext w:val="0"/>
        <w:keepLines w:val="0"/>
        <w:pageBreakBefore w:val="0"/>
        <w:kinsoku/>
        <w:wordWrap/>
        <w:overflowPunct/>
        <w:topLinePunct w:val="0"/>
        <w:bidi w:val="0"/>
        <w:spacing w:line="600" w:lineRule="exact"/>
        <w:jc w:val="both"/>
        <w:rPr>
          <w:rFonts w:hint="eastAsia" w:eastAsia="华文仿宋" w:cs="宋体" w:asciiTheme="majorEastAsia" w:hAnsiTheme="majorEastAsia"/>
          <w:spacing w:val="-7"/>
          <w:sz w:val="30"/>
          <w:szCs w:val="32"/>
          <w:lang w:eastAsia="zh-CN"/>
        </w:rPr>
      </w:pPr>
    </w:p>
    <w:p w14:paraId="2AAA578C">
      <w:pPr>
        <w:keepNext w:val="0"/>
        <w:keepLines w:val="0"/>
        <w:pageBreakBefore w:val="0"/>
        <w:widowControl/>
        <w:kinsoku/>
        <w:wordWrap/>
        <w:overflowPunct/>
        <w:topLinePunct w:val="0"/>
        <w:autoSpaceDE w:val="0"/>
        <w:autoSpaceDN w:val="0"/>
        <w:bidi w:val="0"/>
        <w:adjustRightInd w:val="0"/>
        <w:snapToGrid w:val="0"/>
        <w:spacing w:line="600" w:lineRule="exact"/>
        <w:jc w:val="center"/>
        <w:textAlignment w:val="baseline"/>
        <w:rPr>
          <w:rFonts w:hint="eastAsia" w:ascii="方正小标宋_GBK" w:hAnsi="方正小标宋_GBK" w:eastAsia="方正小标宋_GBK" w:cs="方正小标宋_GBK"/>
          <w:b/>
          <w:snapToGrid w:val="0"/>
          <w:color w:val="000000"/>
          <w:spacing w:val="-7"/>
          <w:kern w:val="0"/>
          <w:sz w:val="44"/>
          <w:szCs w:val="44"/>
          <w:lang w:eastAsia="zh-CN"/>
        </w:rPr>
      </w:pPr>
      <w:r>
        <w:rPr>
          <w:rFonts w:hint="eastAsia" w:ascii="方正小标宋_GBK" w:hAnsi="方正小标宋_GBK" w:eastAsia="方正小标宋_GBK" w:cs="方正小标宋_GBK"/>
          <w:b w:val="0"/>
          <w:bCs/>
          <w:snapToGrid w:val="0"/>
          <w:color w:val="000000"/>
          <w:spacing w:val="-7"/>
          <w:kern w:val="0"/>
          <w:sz w:val="44"/>
          <w:szCs w:val="44"/>
          <w:lang w:eastAsia="zh-CN"/>
        </w:rPr>
        <w:t>相关单位及职责</w:t>
      </w:r>
    </w:p>
    <w:p w14:paraId="63ED62CF">
      <w:pPr>
        <w:pStyle w:val="4"/>
        <w:keepNext w:val="0"/>
        <w:keepLines w:val="0"/>
        <w:pageBreakBefore w:val="0"/>
        <w:kinsoku/>
        <w:wordWrap/>
        <w:overflowPunct/>
        <w:topLinePunct w:val="0"/>
        <w:bidi w:val="0"/>
        <w:spacing w:line="600" w:lineRule="exact"/>
        <w:ind w:firstLine="574" w:firstLineChars="200"/>
        <w:jc w:val="both"/>
        <w:rPr>
          <w:rFonts w:hint="eastAsia" w:eastAsia="华文仿宋" w:cs="宋体" w:asciiTheme="majorEastAsia" w:hAnsiTheme="majorEastAsia"/>
          <w:b/>
          <w:spacing w:val="-7"/>
          <w:sz w:val="30"/>
          <w:szCs w:val="32"/>
          <w:lang w:eastAsia="zh-CN"/>
        </w:rPr>
      </w:pPr>
    </w:p>
    <w:p w14:paraId="24F48DF2">
      <w:pPr>
        <w:keepNext w:val="0"/>
        <w:keepLines w:val="0"/>
        <w:pageBreakBefore w:val="0"/>
        <w:widowControl w:val="0"/>
        <w:kinsoku/>
        <w:wordWrap/>
        <w:overflowPunct/>
        <w:topLinePunct w:val="0"/>
        <w:autoSpaceDE/>
        <w:autoSpaceDN/>
        <w:bidi w:val="0"/>
        <w:adjustRightInd/>
        <w:snapToGrid/>
        <w:spacing w:line="600" w:lineRule="exact"/>
        <w:ind w:firstLine="612" w:firstLineChars="200"/>
        <w:textAlignment w:val="auto"/>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eastAsia="zh-CN"/>
        </w:rPr>
        <w:t>规建办负责协调、推进镇地下空间应急体系建设；负责信息汇总，组织、检查和监督地下空间应急管理工作；编制、修订镇地下空间突发事件应急预案，综合协调书院镇地下空间应急演练、宣传教育培训等工作；办理和督促落实区联席会议交办的其他事项。协助生态环境局和规划资源局和做好相关调查工作和资料信息提供。</w:t>
      </w:r>
    </w:p>
    <w:p w14:paraId="54F64239">
      <w:pPr>
        <w:keepNext w:val="0"/>
        <w:keepLines w:val="0"/>
        <w:pageBreakBefore w:val="0"/>
        <w:widowControl w:val="0"/>
        <w:kinsoku/>
        <w:wordWrap/>
        <w:overflowPunct/>
        <w:topLinePunct w:val="0"/>
        <w:autoSpaceDE/>
        <w:autoSpaceDN/>
        <w:bidi w:val="0"/>
        <w:adjustRightInd/>
        <w:snapToGrid/>
        <w:spacing w:line="600" w:lineRule="exact"/>
        <w:ind w:firstLine="612" w:firstLineChars="200"/>
        <w:textAlignment w:val="auto"/>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eastAsia="zh-CN"/>
        </w:rPr>
        <w:t>武装部：突发战时，武装部根据上级指令，接管相应人防设施。</w:t>
      </w:r>
    </w:p>
    <w:p w14:paraId="06575F39">
      <w:pPr>
        <w:keepNext w:val="0"/>
        <w:keepLines w:val="0"/>
        <w:pageBreakBefore w:val="0"/>
        <w:widowControl w:val="0"/>
        <w:kinsoku/>
        <w:wordWrap/>
        <w:overflowPunct/>
        <w:topLinePunct w:val="0"/>
        <w:autoSpaceDE/>
        <w:autoSpaceDN/>
        <w:bidi w:val="0"/>
        <w:adjustRightInd/>
        <w:snapToGrid/>
        <w:spacing w:line="600" w:lineRule="exact"/>
        <w:ind w:firstLine="612" w:firstLineChars="200"/>
        <w:textAlignment w:val="auto"/>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eastAsia="zh-CN"/>
        </w:rPr>
        <w:t>城运中心：以浦东新区应急管理综合信息平台（书院镇）为基础构建书院镇突发事件应急联动处置的指挥平台及地下空间的应急保障工作；并负责地下空间应急管理、应急演练、突发事件救援工作的指导和管理，组织协调地下空间突发事件的应急救援工作，组织、参与地下空间突发事件的调查处理工作；建立地下空间突发事件应急处置储备仓库。</w:t>
      </w:r>
    </w:p>
    <w:p w14:paraId="60ECD15E">
      <w:pPr>
        <w:keepNext w:val="0"/>
        <w:keepLines w:val="0"/>
        <w:pageBreakBefore w:val="0"/>
        <w:widowControl w:val="0"/>
        <w:kinsoku/>
        <w:wordWrap/>
        <w:overflowPunct/>
        <w:topLinePunct w:val="0"/>
        <w:autoSpaceDE/>
        <w:autoSpaceDN/>
        <w:bidi w:val="0"/>
        <w:adjustRightInd/>
        <w:snapToGrid/>
        <w:spacing w:line="600" w:lineRule="exact"/>
        <w:ind w:firstLine="612" w:firstLineChars="200"/>
        <w:textAlignment w:val="auto"/>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eastAsia="zh-CN"/>
        </w:rPr>
        <w:t>派出所：负责地下空间突发事件的应急处置、救援，负责保障应急处置车辆快速安全通行，维护事发地社会治安秩序，配合做好现场救助、人员疏散等工作，协助上级部门做好地下空间突发事件的调查处理工作。</w:t>
      </w:r>
    </w:p>
    <w:p w14:paraId="7828DDCF">
      <w:pPr>
        <w:keepNext w:val="0"/>
        <w:keepLines w:val="0"/>
        <w:pageBreakBefore w:val="0"/>
        <w:widowControl w:val="0"/>
        <w:kinsoku/>
        <w:wordWrap/>
        <w:overflowPunct/>
        <w:topLinePunct w:val="0"/>
        <w:autoSpaceDE/>
        <w:autoSpaceDN/>
        <w:bidi w:val="0"/>
        <w:adjustRightInd/>
        <w:snapToGrid/>
        <w:spacing w:line="600" w:lineRule="exact"/>
        <w:ind w:firstLine="612" w:firstLineChars="200"/>
        <w:textAlignment w:val="auto"/>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eastAsia="zh-CN"/>
        </w:rPr>
        <w:t>消防救援队：负责地下空间突发事件的应急处置、救援，统一组织和指挥地下空间火灾现场扑救，承担以抢救人员生命为主的应急救援工作。</w:t>
      </w:r>
    </w:p>
    <w:p w14:paraId="52D24629">
      <w:pPr>
        <w:keepNext w:val="0"/>
        <w:keepLines w:val="0"/>
        <w:pageBreakBefore w:val="0"/>
        <w:widowControl w:val="0"/>
        <w:kinsoku/>
        <w:wordWrap/>
        <w:overflowPunct/>
        <w:topLinePunct w:val="0"/>
        <w:autoSpaceDE/>
        <w:autoSpaceDN/>
        <w:bidi w:val="0"/>
        <w:adjustRightInd/>
        <w:snapToGrid/>
        <w:spacing w:line="600" w:lineRule="exact"/>
        <w:ind w:firstLine="612" w:firstLineChars="200"/>
        <w:textAlignment w:val="auto"/>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eastAsia="zh-CN"/>
        </w:rPr>
        <w:t>市场监管所:负责提供地下空间突发事件处理中的相关企业、个体工商户的信息资料；组织、协调地下空间特种设备事件应急处置；协助上级部门做好地下空间特种设备事故调查处理工作。</w:t>
      </w:r>
    </w:p>
    <w:p w14:paraId="67DA6563">
      <w:pPr>
        <w:keepNext w:val="0"/>
        <w:keepLines w:val="0"/>
        <w:pageBreakBefore w:val="0"/>
        <w:widowControl w:val="0"/>
        <w:kinsoku/>
        <w:wordWrap/>
        <w:overflowPunct/>
        <w:topLinePunct w:val="0"/>
        <w:autoSpaceDE/>
        <w:autoSpaceDN/>
        <w:bidi w:val="0"/>
        <w:adjustRightInd/>
        <w:snapToGrid/>
        <w:spacing w:line="600" w:lineRule="exact"/>
        <w:ind w:firstLine="612" w:firstLineChars="200"/>
        <w:textAlignment w:val="auto"/>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eastAsia="zh-CN"/>
        </w:rPr>
        <w:t>经发办：协调、储备、调用地下空间突发事件应急处置所需物质，建立健全生活必需品市场公用应急机制，负责生活保障类物资的储存、调拨和供应</w:t>
      </w:r>
    </w:p>
    <w:p w14:paraId="407086A5">
      <w:pPr>
        <w:keepNext w:val="0"/>
        <w:keepLines w:val="0"/>
        <w:pageBreakBefore w:val="0"/>
        <w:widowControl w:val="0"/>
        <w:kinsoku/>
        <w:wordWrap/>
        <w:overflowPunct/>
        <w:topLinePunct w:val="0"/>
        <w:autoSpaceDE/>
        <w:autoSpaceDN/>
        <w:bidi w:val="0"/>
        <w:adjustRightInd/>
        <w:snapToGrid/>
        <w:spacing w:line="600" w:lineRule="exact"/>
        <w:ind w:firstLine="612" w:firstLineChars="200"/>
        <w:textAlignment w:val="auto"/>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eastAsia="zh-CN"/>
        </w:rPr>
        <w:t>社工办：地下空间突发事件发生后，社工办要及时联系医疗机构组织开展现场医疗救治。并协助调查涉及地下空间卫生防疫事件的调查处理工作。</w:t>
      </w:r>
    </w:p>
    <w:p w14:paraId="37EA2F33">
      <w:pPr>
        <w:keepNext w:val="0"/>
        <w:keepLines w:val="0"/>
        <w:pageBreakBefore w:val="0"/>
        <w:widowControl w:val="0"/>
        <w:kinsoku/>
        <w:wordWrap/>
        <w:overflowPunct/>
        <w:topLinePunct w:val="0"/>
        <w:autoSpaceDE/>
        <w:autoSpaceDN/>
        <w:bidi w:val="0"/>
        <w:adjustRightInd/>
        <w:snapToGrid/>
        <w:spacing w:line="600" w:lineRule="exact"/>
        <w:ind w:firstLine="612" w:firstLineChars="200"/>
        <w:textAlignment w:val="auto"/>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eastAsia="zh-CN"/>
        </w:rPr>
        <w:t>党群办：统筹、协调处置地下空间突发事故中的新闻报道工作，指导、协调相关部门和媒体做好地下空间突发事件信息发布、舆论引导工作。</w:t>
      </w:r>
    </w:p>
    <w:p w14:paraId="2E218767">
      <w:pPr>
        <w:keepNext w:val="0"/>
        <w:keepLines w:val="0"/>
        <w:pageBreakBefore w:val="0"/>
        <w:widowControl w:val="0"/>
        <w:kinsoku/>
        <w:wordWrap/>
        <w:overflowPunct/>
        <w:topLinePunct w:val="0"/>
        <w:autoSpaceDE/>
        <w:autoSpaceDN/>
        <w:bidi w:val="0"/>
        <w:adjustRightInd/>
        <w:snapToGrid/>
        <w:spacing w:line="600" w:lineRule="exact"/>
        <w:ind w:firstLine="612" w:firstLineChars="200"/>
        <w:textAlignment w:val="auto"/>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eastAsia="zh-CN"/>
        </w:rPr>
        <w:t>综合执法大队：参加地下空间突发事件的应急处置、救援工作，对损坏房屋承重结构的违法行为案件依法进行查处，并参与地下空间突发事件的调查处置和行政执法工作。</w:t>
      </w:r>
    </w:p>
    <w:p w14:paraId="57544605">
      <w:pPr>
        <w:keepNext w:val="0"/>
        <w:keepLines w:val="0"/>
        <w:pageBreakBefore w:val="0"/>
        <w:widowControl w:val="0"/>
        <w:kinsoku/>
        <w:wordWrap/>
        <w:overflowPunct/>
        <w:topLinePunct w:val="0"/>
        <w:autoSpaceDE/>
        <w:autoSpaceDN/>
        <w:bidi w:val="0"/>
        <w:adjustRightInd/>
        <w:snapToGrid/>
        <w:spacing w:line="600" w:lineRule="exact"/>
        <w:ind w:firstLine="612" w:firstLineChars="200"/>
        <w:textAlignment w:val="auto"/>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eastAsia="zh-CN"/>
        </w:rPr>
        <w:t>财政所：对地下空间突发事件应急管理所需日常工作经费，做好相关保障工作。</w:t>
      </w:r>
    </w:p>
    <w:p w14:paraId="570F1238">
      <w:pPr>
        <w:keepNext w:val="0"/>
        <w:keepLines w:val="0"/>
        <w:pageBreakBefore w:val="0"/>
        <w:widowControl w:val="0"/>
        <w:kinsoku/>
        <w:wordWrap/>
        <w:overflowPunct/>
        <w:topLinePunct w:val="0"/>
        <w:autoSpaceDE/>
        <w:autoSpaceDN/>
        <w:bidi w:val="0"/>
        <w:adjustRightInd/>
        <w:snapToGrid/>
        <w:spacing w:line="600" w:lineRule="exact"/>
        <w:ind w:firstLine="612" w:firstLineChars="200"/>
        <w:textAlignment w:val="auto"/>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eastAsia="zh-CN"/>
        </w:rPr>
        <w:t>各村（居）委：涉及相关地下空间的村居，负责组织指导地下空间产权人、物业管理单位和使用单位，参与和协助应急处置行动。</w:t>
      </w:r>
    </w:p>
    <w:p w14:paraId="783AD777">
      <w:pPr>
        <w:keepNext w:val="0"/>
        <w:keepLines w:val="0"/>
        <w:pageBreakBefore w:val="0"/>
        <w:widowControl w:val="0"/>
        <w:kinsoku/>
        <w:wordWrap/>
        <w:overflowPunct/>
        <w:topLinePunct w:val="0"/>
        <w:autoSpaceDE/>
        <w:autoSpaceDN/>
        <w:bidi w:val="0"/>
        <w:adjustRightInd/>
        <w:snapToGrid/>
        <w:spacing w:line="600" w:lineRule="exact"/>
        <w:ind w:firstLine="612" w:firstLineChars="200"/>
        <w:textAlignment w:val="auto"/>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lang w:eastAsia="zh-CN"/>
        </w:rPr>
        <w:t>地下空间产权人、物业管理单位和使用单位：及时报告地下空间突发事件情况，实施即时处置，组织人员开展自救互救；提应急处置需要的信息资料和人力物力资源。</w:t>
      </w:r>
    </w:p>
    <w:p w14:paraId="0468EA5E">
      <w:pPr>
        <w:widowControl w:val="0"/>
        <w:kinsoku/>
        <w:autoSpaceDE/>
        <w:autoSpaceDN/>
        <w:adjustRightInd/>
        <w:snapToGrid/>
        <w:spacing w:line="360" w:lineRule="auto"/>
        <w:ind w:firstLine="612" w:firstLineChars="200"/>
        <w:textAlignment w:val="auto"/>
        <w:rPr>
          <w:rFonts w:hint="eastAsia" w:ascii="仿宋" w:hAnsi="仿宋" w:eastAsia="仿宋" w:cs="宋体"/>
          <w:spacing w:val="-7"/>
          <w:sz w:val="32"/>
          <w:szCs w:val="32"/>
          <w:lang w:eastAsia="zh-CN"/>
        </w:rPr>
      </w:pPr>
    </w:p>
    <w:p w14:paraId="47F3CE9F">
      <w:pPr>
        <w:widowControl w:val="0"/>
        <w:kinsoku/>
        <w:autoSpaceDE/>
        <w:autoSpaceDN/>
        <w:adjustRightInd/>
        <w:snapToGrid/>
        <w:spacing w:line="360" w:lineRule="auto"/>
        <w:ind w:firstLine="612" w:firstLineChars="200"/>
        <w:textAlignment w:val="auto"/>
        <w:rPr>
          <w:rFonts w:hint="eastAsia" w:ascii="仿宋" w:hAnsi="仿宋" w:eastAsia="仿宋" w:cs="宋体"/>
          <w:spacing w:val="-7"/>
          <w:sz w:val="32"/>
          <w:szCs w:val="32"/>
          <w:lang w:eastAsia="zh-CN"/>
        </w:rPr>
      </w:pPr>
    </w:p>
    <w:p w14:paraId="6F4A859F">
      <w:pPr>
        <w:widowControl w:val="0"/>
        <w:kinsoku/>
        <w:autoSpaceDE/>
        <w:autoSpaceDN/>
        <w:adjustRightInd/>
        <w:snapToGrid/>
        <w:spacing w:line="360" w:lineRule="auto"/>
        <w:ind w:firstLine="612" w:firstLineChars="200"/>
        <w:textAlignment w:val="auto"/>
        <w:rPr>
          <w:rFonts w:hint="eastAsia" w:ascii="仿宋" w:hAnsi="仿宋" w:eastAsia="仿宋" w:cs="宋体"/>
          <w:spacing w:val="-7"/>
          <w:sz w:val="32"/>
          <w:szCs w:val="32"/>
          <w:lang w:eastAsia="zh-CN"/>
        </w:rPr>
      </w:pPr>
    </w:p>
    <w:p w14:paraId="18F51921">
      <w:pPr>
        <w:widowControl w:val="0"/>
        <w:kinsoku/>
        <w:autoSpaceDE/>
        <w:autoSpaceDN/>
        <w:adjustRightInd/>
        <w:snapToGrid/>
        <w:spacing w:line="360" w:lineRule="auto"/>
        <w:ind w:firstLine="612" w:firstLineChars="200"/>
        <w:textAlignment w:val="auto"/>
        <w:rPr>
          <w:rFonts w:ascii="仿宋" w:hAnsi="仿宋" w:eastAsia="仿宋" w:cs="宋体"/>
          <w:spacing w:val="-7"/>
          <w:sz w:val="32"/>
          <w:szCs w:val="32"/>
          <w:lang w:eastAsia="zh-CN"/>
        </w:rPr>
      </w:pPr>
    </w:p>
    <w:p w14:paraId="0DD1BDEA">
      <w:pPr>
        <w:widowControl w:val="0"/>
        <w:kinsoku/>
        <w:autoSpaceDE/>
        <w:autoSpaceDN/>
        <w:adjustRightInd/>
        <w:snapToGrid/>
        <w:spacing w:line="360" w:lineRule="auto"/>
        <w:ind w:firstLine="612" w:firstLineChars="200"/>
        <w:textAlignment w:val="auto"/>
        <w:rPr>
          <w:rFonts w:ascii="仿宋" w:hAnsi="仿宋" w:eastAsia="仿宋" w:cs="宋体"/>
          <w:spacing w:val="-7"/>
          <w:sz w:val="32"/>
          <w:szCs w:val="32"/>
          <w:lang w:eastAsia="zh-CN"/>
        </w:rPr>
      </w:pPr>
    </w:p>
    <w:p w14:paraId="426F72F4">
      <w:pPr>
        <w:widowControl w:val="0"/>
        <w:kinsoku/>
        <w:autoSpaceDE/>
        <w:autoSpaceDN/>
        <w:adjustRightInd/>
        <w:snapToGrid/>
        <w:spacing w:line="360" w:lineRule="auto"/>
        <w:ind w:firstLine="612" w:firstLineChars="200"/>
        <w:textAlignment w:val="auto"/>
        <w:rPr>
          <w:rFonts w:ascii="仿宋" w:hAnsi="仿宋" w:eastAsia="仿宋" w:cs="宋体"/>
          <w:spacing w:val="-7"/>
          <w:sz w:val="32"/>
          <w:szCs w:val="32"/>
          <w:lang w:eastAsia="zh-CN"/>
        </w:rPr>
      </w:pPr>
    </w:p>
    <w:p w14:paraId="4899D647">
      <w:pPr>
        <w:widowControl w:val="0"/>
        <w:kinsoku/>
        <w:autoSpaceDE/>
        <w:autoSpaceDN/>
        <w:adjustRightInd/>
        <w:snapToGrid/>
        <w:spacing w:line="360" w:lineRule="auto"/>
        <w:ind w:firstLine="612" w:firstLineChars="200"/>
        <w:textAlignment w:val="auto"/>
        <w:rPr>
          <w:rFonts w:ascii="仿宋" w:hAnsi="仿宋" w:eastAsia="仿宋" w:cs="宋体"/>
          <w:spacing w:val="-7"/>
          <w:sz w:val="32"/>
          <w:szCs w:val="32"/>
          <w:lang w:eastAsia="zh-CN"/>
        </w:rPr>
      </w:pPr>
    </w:p>
    <w:p w14:paraId="50BE4140">
      <w:pPr>
        <w:widowControl w:val="0"/>
        <w:kinsoku/>
        <w:autoSpaceDE/>
        <w:autoSpaceDN/>
        <w:adjustRightInd/>
        <w:snapToGrid/>
        <w:spacing w:line="360" w:lineRule="auto"/>
        <w:ind w:firstLine="612" w:firstLineChars="200"/>
        <w:textAlignment w:val="auto"/>
        <w:rPr>
          <w:rFonts w:ascii="仿宋" w:hAnsi="仿宋" w:eastAsia="仿宋" w:cs="宋体"/>
          <w:spacing w:val="-7"/>
          <w:sz w:val="32"/>
          <w:szCs w:val="32"/>
          <w:lang w:eastAsia="zh-CN"/>
        </w:rPr>
      </w:pPr>
    </w:p>
    <w:p w14:paraId="2DDA1DD3">
      <w:pPr>
        <w:widowControl w:val="0"/>
        <w:kinsoku/>
        <w:autoSpaceDE/>
        <w:autoSpaceDN/>
        <w:adjustRightInd/>
        <w:snapToGrid/>
        <w:spacing w:line="360" w:lineRule="auto"/>
        <w:ind w:firstLine="612" w:firstLineChars="200"/>
        <w:textAlignment w:val="auto"/>
        <w:rPr>
          <w:rFonts w:ascii="仿宋" w:hAnsi="仿宋" w:eastAsia="仿宋" w:cs="宋体"/>
          <w:spacing w:val="-7"/>
          <w:sz w:val="32"/>
          <w:szCs w:val="32"/>
          <w:lang w:eastAsia="zh-CN"/>
        </w:rPr>
      </w:pPr>
    </w:p>
    <w:p w14:paraId="23B6FEDF">
      <w:pPr>
        <w:widowControl w:val="0"/>
        <w:kinsoku/>
        <w:autoSpaceDE/>
        <w:autoSpaceDN/>
        <w:adjustRightInd/>
        <w:snapToGrid/>
        <w:spacing w:line="360" w:lineRule="auto"/>
        <w:ind w:firstLine="612" w:firstLineChars="200"/>
        <w:textAlignment w:val="auto"/>
        <w:rPr>
          <w:rFonts w:ascii="仿宋" w:hAnsi="仿宋" w:eastAsia="仿宋" w:cs="宋体"/>
          <w:spacing w:val="-7"/>
          <w:sz w:val="32"/>
          <w:szCs w:val="32"/>
          <w:lang w:eastAsia="zh-CN"/>
        </w:rPr>
      </w:pPr>
    </w:p>
    <w:p w14:paraId="3E5C74F9">
      <w:pPr>
        <w:widowControl w:val="0"/>
        <w:kinsoku/>
        <w:autoSpaceDE/>
        <w:autoSpaceDN/>
        <w:adjustRightInd/>
        <w:snapToGrid/>
        <w:spacing w:line="360" w:lineRule="auto"/>
        <w:ind w:firstLine="612" w:firstLineChars="200"/>
        <w:textAlignment w:val="auto"/>
        <w:rPr>
          <w:rFonts w:ascii="仿宋" w:hAnsi="仿宋" w:eastAsia="仿宋" w:cs="宋体"/>
          <w:spacing w:val="-7"/>
          <w:sz w:val="32"/>
          <w:szCs w:val="32"/>
          <w:lang w:eastAsia="zh-CN"/>
        </w:rPr>
      </w:pPr>
    </w:p>
    <w:p w14:paraId="7C0044A1">
      <w:pPr>
        <w:widowControl w:val="0"/>
        <w:kinsoku/>
        <w:autoSpaceDE/>
        <w:autoSpaceDN/>
        <w:adjustRightInd/>
        <w:snapToGrid/>
        <w:spacing w:line="360" w:lineRule="auto"/>
        <w:ind w:firstLine="612" w:firstLineChars="200"/>
        <w:textAlignment w:val="auto"/>
        <w:rPr>
          <w:rFonts w:ascii="仿宋" w:hAnsi="仿宋" w:eastAsia="仿宋" w:cs="宋体"/>
          <w:spacing w:val="-7"/>
          <w:sz w:val="32"/>
          <w:szCs w:val="32"/>
          <w:lang w:eastAsia="zh-CN"/>
        </w:rPr>
      </w:pPr>
    </w:p>
    <w:p w14:paraId="0780FE89">
      <w:pPr>
        <w:kinsoku/>
        <w:spacing w:line="360" w:lineRule="auto"/>
        <w:rPr>
          <w:rFonts w:hint="eastAsia"/>
          <w:b/>
          <w:snapToGrid/>
          <w:lang w:eastAsia="zh-CN"/>
        </w:rPr>
      </w:pPr>
    </w:p>
    <w:p w14:paraId="7AB17B53">
      <w:pPr>
        <w:kinsoku/>
        <w:spacing w:line="360" w:lineRule="auto"/>
        <w:rPr>
          <w:b/>
          <w:snapToGrid/>
          <w:lang w:eastAsia="zh-CN"/>
        </w:rPr>
      </w:pPr>
    </w:p>
    <w:p w14:paraId="05D509C7">
      <w:pPr>
        <w:kinsoku/>
        <w:spacing w:line="360" w:lineRule="auto"/>
        <w:rPr>
          <w:b/>
          <w:snapToGrid/>
          <w:lang w:eastAsia="zh-CN"/>
        </w:rPr>
      </w:pPr>
    </w:p>
    <w:p w14:paraId="58E4DD0D">
      <w:pPr>
        <w:kinsoku/>
        <w:spacing w:line="360" w:lineRule="auto"/>
        <w:rPr>
          <w:b/>
          <w:snapToGrid/>
          <w:lang w:eastAsia="zh-CN"/>
        </w:rPr>
      </w:pPr>
    </w:p>
    <w:p w14:paraId="5F0119AE">
      <w:pPr>
        <w:kinsoku/>
        <w:spacing w:line="360" w:lineRule="auto"/>
        <w:rPr>
          <w:b/>
          <w:snapToGrid/>
          <w:lang w:eastAsia="zh-CN"/>
        </w:rPr>
      </w:pPr>
    </w:p>
    <w:p w14:paraId="48431FDF">
      <w:pPr>
        <w:kinsoku/>
        <w:spacing w:line="360" w:lineRule="auto"/>
        <w:rPr>
          <w:b/>
          <w:snapToGrid/>
          <w:lang w:eastAsia="zh-CN"/>
        </w:rPr>
      </w:pPr>
    </w:p>
    <w:p w14:paraId="522A8AEC">
      <w:pPr>
        <w:kinsoku/>
        <w:spacing w:line="360" w:lineRule="auto"/>
        <w:rPr>
          <w:b/>
          <w:snapToGrid/>
          <w:lang w:eastAsia="zh-CN"/>
        </w:rPr>
      </w:pPr>
    </w:p>
    <w:p w14:paraId="730C88FC">
      <w:pPr>
        <w:kinsoku/>
        <w:spacing w:line="360" w:lineRule="auto"/>
        <w:rPr>
          <w:b/>
          <w:snapToGrid/>
          <w:lang w:eastAsia="zh-CN"/>
        </w:rPr>
      </w:pPr>
    </w:p>
    <w:p w14:paraId="12DB83F2">
      <w:pPr>
        <w:kinsoku/>
        <w:spacing w:line="360" w:lineRule="auto"/>
        <w:rPr>
          <w:rFonts w:hint="eastAsia" w:ascii="黑体" w:hAnsi="黑体" w:eastAsia="黑体" w:cs="黑体"/>
          <w:b w:val="0"/>
          <w:bCs w:val="0"/>
          <w:spacing w:val="8"/>
          <w:sz w:val="32"/>
          <w:szCs w:val="32"/>
          <w:lang w:eastAsia="zh-CN"/>
        </w:rPr>
        <w:sectPr>
          <w:footerReference r:id="rId7" w:type="default"/>
          <w:pgSz w:w="11970" w:h="16900"/>
          <w:pgMar w:top="2098" w:right="1587" w:bottom="1984" w:left="1587" w:header="850" w:footer="992" w:gutter="0"/>
          <w:pgNumType w:fmt="decimal" w:start="1"/>
          <w:cols w:equalWidth="0" w:num="1">
            <w:col w:w="8456"/>
          </w:cols>
          <w:rtlGutter w:val="0"/>
          <w:docGrid w:linePitch="286" w:charSpace="0"/>
        </w:sectPr>
      </w:pPr>
    </w:p>
    <w:p w14:paraId="0651FFFE">
      <w:pPr>
        <w:kinsoku/>
        <w:spacing w:line="360" w:lineRule="auto"/>
        <w:rPr>
          <w:rFonts w:hint="eastAsia" w:ascii="仿宋_GB2312" w:hAnsi="仿宋_GB2312" w:eastAsia="仿宋_GB2312" w:cs="仿宋_GB2312"/>
          <w:b/>
          <w:spacing w:val="-7"/>
          <w:sz w:val="32"/>
          <w:szCs w:val="32"/>
          <w:lang w:eastAsia="zh-CN"/>
        </w:rPr>
      </w:pPr>
      <w:r>
        <w:rPr>
          <w:rFonts w:hint="eastAsia" w:ascii="黑体" w:hAnsi="黑体" w:eastAsia="黑体" w:cs="黑体"/>
          <w:b w:val="0"/>
          <w:bCs w:val="0"/>
          <w:spacing w:val="8"/>
          <w:sz w:val="32"/>
          <w:szCs w:val="32"/>
          <w:lang w:eastAsia="zh-CN"/>
        </w:rPr>
        <w:t>附件</w:t>
      </w:r>
      <w:r>
        <w:rPr>
          <w:rFonts w:hint="eastAsia" w:ascii="Times New Roman" w:hAnsi="Times New Roman" w:eastAsia="黑体" w:cs="Times New Roman"/>
          <w:b w:val="0"/>
          <w:bCs w:val="0"/>
          <w:spacing w:val="8"/>
          <w:sz w:val="32"/>
          <w:szCs w:val="32"/>
          <w:lang w:eastAsia="zh-CN"/>
        </w:rPr>
        <w:t>2</w:t>
      </w:r>
      <w:r>
        <w:rPr>
          <w:rFonts w:hint="eastAsia" w:ascii="黑体" w:hAnsi="黑体" w:eastAsia="黑体" w:cs="黑体"/>
          <w:b w:val="0"/>
          <w:bCs w:val="0"/>
          <w:spacing w:val="8"/>
          <w:sz w:val="32"/>
          <w:szCs w:val="32"/>
          <w:lang w:val="en-US" w:eastAsia="zh-CN"/>
        </w:rPr>
        <w:t xml:space="preserve">  </w:t>
      </w:r>
      <w:r>
        <w:rPr>
          <w:rFonts w:hint="eastAsia" w:ascii="方正小标宋简体" w:hAnsi="仿宋" w:eastAsia="方正小标宋简体" w:cs="宋体"/>
          <w:kern w:val="0"/>
          <w:sz w:val="32"/>
          <w:szCs w:val="32"/>
          <w:lang w:val="en-US" w:eastAsia="zh-CN"/>
        </w:rPr>
        <w:t>地下空间突发事件应急处置流程图</w:t>
      </w:r>
    </w:p>
    <w:p w14:paraId="4E37FDBA">
      <w:pPr>
        <w:kinsoku/>
        <w:spacing w:line="360" w:lineRule="auto"/>
        <w:rPr>
          <w:rFonts w:hint="eastAsia" w:ascii="仿宋_GB2312" w:hAnsi="仿宋_GB2312" w:eastAsia="仿宋_GB2312" w:cs="仿宋_GB2312"/>
          <w:b/>
          <w:spacing w:val="-7"/>
          <w:sz w:val="32"/>
          <w:szCs w:val="32"/>
          <w:lang w:eastAsia="zh-CN"/>
        </w:rPr>
      </w:pPr>
      <w:r>
        <w:rPr>
          <w:b/>
          <w:i/>
          <w:snapToGrid/>
          <w:lang w:eastAsia="zh-CN"/>
        </w:rPr>
        <w:drawing>
          <wp:anchor distT="0" distB="0" distL="114300" distR="114300" simplePos="0" relativeHeight="251659264" behindDoc="0" locked="0" layoutInCell="1" allowOverlap="1">
            <wp:simplePos x="0" y="0"/>
            <wp:positionH relativeFrom="column">
              <wp:posOffset>-1905</wp:posOffset>
            </wp:positionH>
            <wp:positionV relativeFrom="page">
              <wp:posOffset>1842770</wp:posOffset>
            </wp:positionV>
            <wp:extent cx="5464810" cy="7510780"/>
            <wp:effectExtent l="0" t="0" r="2540" b="139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464810" cy="7510780"/>
                    </a:xfrm>
                    <a:prstGeom prst="rect">
                      <a:avLst/>
                    </a:prstGeom>
                  </pic:spPr>
                </pic:pic>
              </a:graphicData>
            </a:graphic>
          </wp:anchor>
        </w:drawing>
      </w:r>
    </w:p>
    <w:p w14:paraId="1D2543F4">
      <w:pPr>
        <w:kinsoku/>
        <w:spacing w:line="360" w:lineRule="auto"/>
        <w:rPr>
          <w:rFonts w:hint="eastAsia" w:ascii="仿宋_GB2312" w:hAnsi="仿宋_GB2312" w:eastAsia="仿宋_GB2312" w:cs="仿宋_GB2312"/>
          <w:b/>
          <w:spacing w:val="-7"/>
          <w:sz w:val="32"/>
          <w:szCs w:val="32"/>
          <w:lang w:eastAsia="zh-CN"/>
        </w:rPr>
      </w:pPr>
    </w:p>
    <w:p w14:paraId="1545FAAF">
      <w:pPr>
        <w:kinsoku/>
        <w:spacing w:line="360" w:lineRule="auto"/>
        <w:rPr>
          <w:rFonts w:hint="eastAsia" w:ascii="仿宋_GB2312" w:hAnsi="仿宋_GB2312" w:eastAsia="仿宋_GB2312" w:cs="仿宋_GB2312"/>
          <w:b/>
          <w:spacing w:val="-7"/>
          <w:sz w:val="32"/>
          <w:szCs w:val="32"/>
          <w:lang w:eastAsia="zh-CN"/>
        </w:rPr>
      </w:pPr>
    </w:p>
    <w:p w14:paraId="3DF70544">
      <w:pPr>
        <w:kinsoku/>
        <w:spacing w:line="360" w:lineRule="auto"/>
        <w:rPr>
          <w:rFonts w:hint="eastAsia" w:ascii="仿宋_GB2312" w:hAnsi="仿宋_GB2312" w:eastAsia="仿宋_GB2312" w:cs="仿宋_GB2312"/>
          <w:b/>
          <w:spacing w:val="-7"/>
          <w:sz w:val="32"/>
          <w:szCs w:val="32"/>
          <w:lang w:eastAsia="zh-CN"/>
        </w:rPr>
      </w:pPr>
    </w:p>
    <w:p w14:paraId="029CD21E">
      <w:pPr>
        <w:kinsoku/>
        <w:spacing w:line="360" w:lineRule="auto"/>
        <w:rPr>
          <w:rFonts w:hint="eastAsia" w:ascii="仿宋_GB2312" w:hAnsi="仿宋_GB2312" w:eastAsia="仿宋_GB2312" w:cs="仿宋_GB2312"/>
          <w:b/>
          <w:spacing w:val="-7"/>
          <w:sz w:val="32"/>
          <w:szCs w:val="32"/>
          <w:lang w:eastAsia="zh-CN"/>
        </w:rPr>
      </w:pPr>
    </w:p>
    <w:p w14:paraId="07226AA8">
      <w:pPr>
        <w:kinsoku/>
        <w:spacing w:line="360" w:lineRule="auto"/>
        <w:rPr>
          <w:rFonts w:hint="eastAsia" w:ascii="仿宋_GB2312" w:hAnsi="仿宋_GB2312" w:eastAsia="仿宋_GB2312" w:cs="仿宋_GB2312"/>
          <w:b/>
          <w:spacing w:val="-7"/>
          <w:sz w:val="32"/>
          <w:szCs w:val="32"/>
          <w:lang w:eastAsia="zh-CN"/>
        </w:rPr>
      </w:pPr>
    </w:p>
    <w:p w14:paraId="18C95EAD">
      <w:pPr>
        <w:kinsoku/>
        <w:spacing w:line="360" w:lineRule="auto"/>
        <w:rPr>
          <w:rFonts w:hint="eastAsia" w:ascii="仿宋_GB2312" w:hAnsi="仿宋_GB2312" w:eastAsia="仿宋_GB2312" w:cs="仿宋_GB2312"/>
          <w:b/>
          <w:spacing w:val="-7"/>
          <w:sz w:val="32"/>
          <w:szCs w:val="32"/>
          <w:lang w:eastAsia="zh-CN"/>
        </w:rPr>
      </w:pPr>
    </w:p>
    <w:p w14:paraId="69C7EFAF">
      <w:pPr>
        <w:kinsoku/>
        <w:spacing w:line="360" w:lineRule="auto"/>
        <w:rPr>
          <w:rFonts w:hint="eastAsia" w:ascii="仿宋_GB2312" w:hAnsi="仿宋_GB2312" w:eastAsia="仿宋_GB2312" w:cs="仿宋_GB2312"/>
          <w:b/>
          <w:spacing w:val="-7"/>
          <w:sz w:val="32"/>
          <w:szCs w:val="32"/>
          <w:lang w:eastAsia="zh-CN"/>
        </w:rPr>
      </w:pPr>
    </w:p>
    <w:p w14:paraId="32970580">
      <w:pPr>
        <w:kinsoku/>
        <w:spacing w:line="360" w:lineRule="auto"/>
        <w:rPr>
          <w:rFonts w:hint="eastAsia" w:ascii="仿宋_GB2312" w:hAnsi="仿宋_GB2312" w:eastAsia="仿宋_GB2312" w:cs="仿宋_GB2312"/>
          <w:b/>
          <w:spacing w:val="-7"/>
          <w:sz w:val="32"/>
          <w:szCs w:val="32"/>
          <w:lang w:eastAsia="zh-CN"/>
        </w:rPr>
      </w:pPr>
    </w:p>
    <w:p w14:paraId="56E22269">
      <w:pPr>
        <w:kinsoku/>
        <w:spacing w:line="360" w:lineRule="auto"/>
        <w:rPr>
          <w:rFonts w:hint="eastAsia" w:ascii="仿宋_GB2312" w:hAnsi="仿宋_GB2312" w:eastAsia="仿宋_GB2312" w:cs="仿宋_GB2312"/>
          <w:b/>
          <w:spacing w:val="-7"/>
          <w:sz w:val="32"/>
          <w:szCs w:val="32"/>
          <w:lang w:eastAsia="zh-CN"/>
        </w:rPr>
      </w:pPr>
    </w:p>
    <w:p w14:paraId="045217C5">
      <w:pPr>
        <w:kinsoku/>
        <w:spacing w:line="360" w:lineRule="auto"/>
        <w:rPr>
          <w:rFonts w:hint="eastAsia" w:ascii="仿宋_GB2312" w:hAnsi="仿宋_GB2312" w:eastAsia="仿宋_GB2312" w:cs="仿宋_GB2312"/>
          <w:b/>
          <w:spacing w:val="-7"/>
          <w:sz w:val="32"/>
          <w:szCs w:val="32"/>
          <w:lang w:eastAsia="zh-CN"/>
        </w:rPr>
      </w:pPr>
    </w:p>
    <w:p w14:paraId="7C8981BC">
      <w:pPr>
        <w:kinsoku/>
        <w:spacing w:line="360" w:lineRule="auto"/>
        <w:rPr>
          <w:rFonts w:hint="eastAsia" w:ascii="仿宋_GB2312" w:hAnsi="仿宋_GB2312" w:eastAsia="仿宋_GB2312" w:cs="仿宋_GB2312"/>
          <w:b/>
          <w:spacing w:val="-7"/>
          <w:sz w:val="32"/>
          <w:szCs w:val="32"/>
          <w:lang w:eastAsia="zh-CN"/>
        </w:rPr>
      </w:pPr>
    </w:p>
    <w:p w14:paraId="4B999572">
      <w:pPr>
        <w:kinsoku/>
        <w:spacing w:line="360" w:lineRule="auto"/>
        <w:rPr>
          <w:rFonts w:hint="eastAsia" w:ascii="仿宋_GB2312" w:hAnsi="仿宋_GB2312" w:eastAsia="仿宋_GB2312" w:cs="仿宋_GB2312"/>
          <w:b/>
          <w:spacing w:val="-7"/>
          <w:sz w:val="32"/>
          <w:szCs w:val="32"/>
          <w:lang w:eastAsia="zh-CN"/>
        </w:rPr>
      </w:pPr>
    </w:p>
    <w:p w14:paraId="34908D43">
      <w:pPr>
        <w:kinsoku/>
        <w:spacing w:line="360" w:lineRule="auto"/>
        <w:rPr>
          <w:rFonts w:hint="eastAsia" w:ascii="仿宋_GB2312" w:hAnsi="仿宋_GB2312" w:eastAsia="仿宋_GB2312" w:cs="仿宋_GB2312"/>
          <w:b/>
          <w:spacing w:val="-7"/>
          <w:sz w:val="32"/>
          <w:szCs w:val="32"/>
          <w:lang w:eastAsia="zh-CN"/>
        </w:rPr>
      </w:pPr>
    </w:p>
    <w:p w14:paraId="2264DEA3">
      <w:pPr>
        <w:kinsoku/>
        <w:spacing w:line="360" w:lineRule="auto"/>
        <w:rPr>
          <w:rFonts w:hint="eastAsia" w:ascii="仿宋_GB2312" w:hAnsi="仿宋_GB2312" w:eastAsia="仿宋_GB2312" w:cs="仿宋_GB2312"/>
          <w:b/>
          <w:spacing w:val="-7"/>
          <w:sz w:val="32"/>
          <w:szCs w:val="32"/>
          <w:lang w:eastAsia="zh-CN"/>
        </w:rPr>
      </w:pPr>
    </w:p>
    <w:p w14:paraId="23C47263">
      <w:pPr>
        <w:kinsoku/>
        <w:spacing w:line="360" w:lineRule="auto"/>
        <w:rPr>
          <w:rFonts w:hint="eastAsia" w:ascii="仿宋_GB2312" w:hAnsi="仿宋_GB2312" w:eastAsia="仿宋_GB2312" w:cs="仿宋_GB2312"/>
          <w:b/>
          <w:spacing w:val="-7"/>
          <w:sz w:val="32"/>
          <w:szCs w:val="32"/>
          <w:lang w:eastAsia="zh-CN"/>
        </w:rPr>
      </w:pPr>
    </w:p>
    <w:p w14:paraId="32BD38BE">
      <w:pPr>
        <w:kinsoku/>
        <w:spacing w:line="360" w:lineRule="auto"/>
        <w:rPr>
          <w:rFonts w:hint="eastAsia" w:ascii="仿宋_GB2312" w:hAnsi="仿宋_GB2312" w:eastAsia="仿宋_GB2312" w:cs="仿宋_GB2312"/>
          <w:b/>
          <w:spacing w:val="-7"/>
          <w:sz w:val="32"/>
          <w:szCs w:val="32"/>
          <w:lang w:eastAsia="zh-CN"/>
        </w:rPr>
      </w:pPr>
    </w:p>
    <w:p w14:paraId="1C76BE1B">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仿宋_GB2312" w:hAnsi="仿宋_GB2312" w:eastAsia="仿宋_GB2312" w:cs="仿宋_GB2312"/>
          <w:b/>
          <w:spacing w:val="-7"/>
          <w:sz w:val="32"/>
          <w:szCs w:val="32"/>
          <w:lang w:eastAsia="zh-CN"/>
        </w:rPr>
        <w:sectPr>
          <w:footerReference r:id="rId8" w:type="default"/>
          <w:pgSz w:w="11970" w:h="16900"/>
          <w:pgMar w:top="2098" w:right="1587" w:bottom="1984" w:left="1587" w:header="850" w:footer="992" w:gutter="0"/>
          <w:pgNumType w:fmt="decimal" w:start="1"/>
          <w:cols w:equalWidth="0" w:num="1">
            <w:col w:w="8456"/>
          </w:cols>
          <w:rtlGutter w:val="0"/>
          <w:docGrid w:linePitch="286" w:charSpace="0"/>
        </w:sectPr>
      </w:pPr>
    </w:p>
    <w:p w14:paraId="05246035">
      <w:pPr>
        <w:pStyle w:val="3"/>
        <w:ind w:left="0" w:leftChars="0" w:firstLine="0" w:firstLineChars="0"/>
        <w:rPr>
          <w:rFonts w:hint="eastAsia" w:ascii="Times New Roman" w:hAnsi="Times New Roman" w:eastAsia="仿宋_GB2312" w:cs="Times New Roman"/>
          <w:sz w:val="32"/>
          <w:szCs w:val="32"/>
        </w:rPr>
      </w:pPr>
    </w:p>
    <w:sectPr>
      <w:footerReference r:id="rId9" w:type="default"/>
      <w:pgSz w:w="11906" w:h="16838"/>
      <w:pgMar w:top="2098" w:right="1587" w:bottom="1984" w:left="1587"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409D8">
    <w:pPr>
      <w:pStyle w:val="4"/>
      <w:spacing w:line="14" w:lineRule="auto"/>
      <w:rPr>
        <w:rFonts w:hint="eastAsia" w:asciiTheme="majorEastAsia" w:hAnsiTheme="majorEastAsia" w:eastAsiaTheme="majorEastAsia" w:cstheme="maj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-180975</wp:posOffset>
              </wp:positionV>
              <wp:extent cx="1828800" cy="1828800"/>
              <wp:effectExtent l="0" t="0" r="0" b="0"/>
              <wp:wrapNone/>
              <wp:docPr id="3"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173A5A">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wrap="none" lIns="0" tIns="0" rIns="0" bIns="0" upright="0">
                      <a:spAutoFit/>
                    </wps:bodyPr>
                  </wps:wsp>
                </a:graphicData>
              </a:graphic>
            </wp:anchor>
          </w:drawing>
        </mc:Choice>
        <mc:Fallback>
          <w:pict>
            <v:shape id="文本框 1036" o:spid="_x0000_s1026" o:spt="202" type="#_x0000_t202" style="position:absolute;left:0pt;margin-top:-14.25pt;height:144pt;width:144pt;mso-position-horizontal:outside;mso-position-horizontal-relative:margin;mso-wrap-style:none;z-index:251661312;mso-width-relative:page;mso-height-relative:page;" filled="f" stroked="f" coordsize="21600,21600" o:gfxdata="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Thou21AAAAAgBAAAPAAAAAAAAAAEAIAAAACIAAABkcnMvZG93&#10;bnJldi54bWxQSwECFAAUAAAACACHTuJATawqKcsBAACcAwAADgAAAAAAAAABACAAAAAjAQAAZHJz&#10;L2Uyb0RvYy54bWxQSwUGAAAAAAYABgBZAQAAYAUAAAAA&#10;">
              <v:fill on="f" focussize="0,0"/>
              <v:stroke on="f"/>
              <v:imagedata o:title=""/>
              <o:lock v:ext="edit" aspectratio="f"/>
              <v:textbox inset="0mm,0mm,0mm,0mm" style="mso-fit-shape-to-text:t;">
                <w:txbxContent>
                  <w:p w14:paraId="3E173A5A">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A9762">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ED630D">
                          <w:pPr>
                            <w:pStyle w:val="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5EssoBAACc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rihx3OLAL9+/XX78uvz8SpbV&#10;y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G5EssoBAACcAwAADgAAAAAAAAABACAAAAAeAQAAZHJzL2Uyb0Rv&#10;Yy54bWxQSwUGAAAAAAYABgBZAQAAWgUAAAAA&#10;">
              <v:fill on="f" focussize="0,0"/>
              <v:stroke on="f"/>
              <v:imagedata o:title=""/>
              <o:lock v:ext="edit" aspectratio="f"/>
              <v:textbox inset="0mm,0mm,0mm,0mm" style="mso-fit-shape-to-text:t;">
                <w:txbxContent>
                  <w:p w14:paraId="01ED630D">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3DB00">
    <w:pPr>
      <w:pStyle w:val="4"/>
      <w:spacing w:line="14" w:lineRule="auto"/>
      <w:rPr>
        <w:sz w:val="2"/>
      </w:rPr>
    </w:pPr>
    <w:r>
      <w:rPr>
        <w:sz w:val="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-180975</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27AAC5">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文本框 1040" o:spid="_x0000_s1026" o:spt="202" type="#_x0000_t202" style="position:absolute;left:0pt;margin-top:-14.25pt;height:144pt;width:144pt;mso-position-horizontal:outside;mso-position-horizontal-relative:margin;mso-wrap-style:none;z-index:251662336;mso-width-relative:page;mso-height-relative:page;" filled="f" stroked="f" coordsize="21600,21600" o:gfxdata="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OGi7bUAAAACAEAAA8AAAAAAAAAAQAgAAAAIgAAAGRycy9kb3du&#10;cmV2LnhtbFBLAQIUABQAAAAIAIdO4kDA6X4bygEAAJwDAAAOAAAAAAAAAAEAIAAAACMBAABkcnMv&#10;ZTJvRG9jLnhtbFBLBQYAAAAABgAGAFkBAABfBQAAAAA=&#10;">
              <v:fill on="f" focussize="0,0"/>
              <v:stroke on="f"/>
              <v:imagedata o:title=""/>
              <o:lock v:ext="edit" aspectratio="f"/>
              <v:textbox inset="0mm,0mm,0mm,0mm" style="mso-fit-shape-to-text:t;">
                <w:txbxContent>
                  <w:p w14:paraId="0927AAC5">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89EA1">
    <w:pPr>
      <w:pStyle w:val="8"/>
      <w:rPr>
        <w:sz w:val="2"/>
      </w:rPr>
    </w:pPr>
    <w:r>
      <w:rPr>
        <w:sz w:val="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-180975</wp:posOffset>
              </wp:positionV>
              <wp:extent cx="1828800" cy="1828800"/>
              <wp:effectExtent l="0" t="0" r="0" b="0"/>
              <wp:wrapNone/>
              <wp:docPr id="5"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DF5026">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文本框 1041" o:spid="_x0000_s1026" o:spt="202" type="#_x0000_t202" style="position:absolute;left:0pt;margin-top:-14.25pt;height:144pt;width:144pt;mso-position-horizontal:outside;mso-position-horizontal-relative:margin;mso-wrap-style:none;z-index:251663360;mso-width-relative:page;mso-height-relative:page;" filled="f" stroked="f" coordsize="21600,21600" o:gfxdata="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OGi7bUAAAACAEAAA8AAAAAAAAAAQAgAAAAIgAAAGRycy9kb3du&#10;cmV2LnhtbFBLAQIUABQAAAAIAIdO4kAK5OWtygEAAJwDAAAOAAAAAAAAAAEAIAAAACMBAABkcnMv&#10;ZTJvRG9jLnhtbFBLBQYAAAAABgAGAFkBAABfBQAAAAA=&#10;">
              <v:fill on="f" focussize="0,0"/>
              <v:stroke on="f"/>
              <v:imagedata o:title=""/>
              <o:lock v:ext="edit" aspectratio="f"/>
              <v:textbox inset="0mm,0mm,0mm,0mm" style="mso-fit-shape-to-text:t;">
                <w:txbxContent>
                  <w:p w14:paraId="3DDF5026">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FCF2">
    <w:pPr>
      <w:pStyle w:val="8"/>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9B77E">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F914F">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ZmU2MDA3NjMzNjJiOGJmMDVlMTZmMWY5NWQ5MTgifQ=="/>
    <w:docVar w:name="KSO_WPS_MARK_KEY" w:val="4941177c-f4b5-4cd8-8deb-3506be7d30c9"/>
  </w:docVars>
  <w:rsids>
    <w:rsidRoot w:val="00172A27"/>
    <w:rsid w:val="00000C99"/>
    <w:rsid w:val="000067E5"/>
    <w:rsid w:val="00007243"/>
    <w:rsid w:val="000110FE"/>
    <w:rsid w:val="000153DD"/>
    <w:rsid w:val="00020E3A"/>
    <w:rsid w:val="0002633E"/>
    <w:rsid w:val="000375E7"/>
    <w:rsid w:val="000422B4"/>
    <w:rsid w:val="0004557E"/>
    <w:rsid w:val="00063967"/>
    <w:rsid w:val="000664E7"/>
    <w:rsid w:val="00067DFB"/>
    <w:rsid w:val="00070795"/>
    <w:rsid w:val="00077196"/>
    <w:rsid w:val="00084832"/>
    <w:rsid w:val="000853CF"/>
    <w:rsid w:val="000954C7"/>
    <w:rsid w:val="000A4DE4"/>
    <w:rsid w:val="000B31CA"/>
    <w:rsid w:val="000C3404"/>
    <w:rsid w:val="000C42C5"/>
    <w:rsid w:val="000D0452"/>
    <w:rsid w:val="000D2F76"/>
    <w:rsid w:val="00100865"/>
    <w:rsid w:val="00104A49"/>
    <w:rsid w:val="0011657C"/>
    <w:rsid w:val="001178BE"/>
    <w:rsid w:val="0012296A"/>
    <w:rsid w:val="00123ACB"/>
    <w:rsid w:val="0012465E"/>
    <w:rsid w:val="00127C7C"/>
    <w:rsid w:val="00131766"/>
    <w:rsid w:val="00132383"/>
    <w:rsid w:val="0013283F"/>
    <w:rsid w:val="00136F97"/>
    <w:rsid w:val="00136FE2"/>
    <w:rsid w:val="001371FD"/>
    <w:rsid w:val="001407D8"/>
    <w:rsid w:val="0014625A"/>
    <w:rsid w:val="001528D7"/>
    <w:rsid w:val="00161317"/>
    <w:rsid w:val="00165186"/>
    <w:rsid w:val="001662CA"/>
    <w:rsid w:val="00166FB1"/>
    <w:rsid w:val="00172032"/>
    <w:rsid w:val="00173421"/>
    <w:rsid w:val="00176140"/>
    <w:rsid w:val="00181A50"/>
    <w:rsid w:val="00182051"/>
    <w:rsid w:val="00187D28"/>
    <w:rsid w:val="00190F6D"/>
    <w:rsid w:val="001A040C"/>
    <w:rsid w:val="001A1CBB"/>
    <w:rsid w:val="001B04DF"/>
    <w:rsid w:val="001B66C7"/>
    <w:rsid w:val="001C1EC4"/>
    <w:rsid w:val="001C5675"/>
    <w:rsid w:val="001D5129"/>
    <w:rsid w:val="001D5575"/>
    <w:rsid w:val="001D79B4"/>
    <w:rsid w:val="001E0526"/>
    <w:rsid w:val="001E396E"/>
    <w:rsid w:val="001E716D"/>
    <w:rsid w:val="001E72DE"/>
    <w:rsid w:val="001F2D81"/>
    <w:rsid w:val="001F741C"/>
    <w:rsid w:val="00201922"/>
    <w:rsid w:val="002059FD"/>
    <w:rsid w:val="00205B56"/>
    <w:rsid w:val="0020691D"/>
    <w:rsid w:val="00232D66"/>
    <w:rsid w:val="00243D12"/>
    <w:rsid w:val="00243DC9"/>
    <w:rsid w:val="002578FB"/>
    <w:rsid w:val="00257C79"/>
    <w:rsid w:val="00265094"/>
    <w:rsid w:val="00272E43"/>
    <w:rsid w:val="00276B52"/>
    <w:rsid w:val="002778B7"/>
    <w:rsid w:val="00280F96"/>
    <w:rsid w:val="00282601"/>
    <w:rsid w:val="00293B7E"/>
    <w:rsid w:val="002A1658"/>
    <w:rsid w:val="002A50AD"/>
    <w:rsid w:val="002B1346"/>
    <w:rsid w:val="002C6214"/>
    <w:rsid w:val="002D6E21"/>
    <w:rsid w:val="002E117E"/>
    <w:rsid w:val="002E2CFB"/>
    <w:rsid w:val="002E647C"/>
    <w:rsid w:val="002F13C1"/>
    <w:rsid w:val="002F5135"/>
    <w:rsid w:val="003014EB"/>
    <w:rsid w:val="00301A99"/>
    <w:rsid w:val="003055B3"/>
    <w:rsid w:val="00305C29"/>
    <w:rsid w:val="003067A7"/>
    <w:rsid w:val="003102CF"/>
    <w:rsid w:val="00311DBF"/>
    <w:rsid w:val="00322FFB"/>
    <w:rsid w:val="00324A53"/>
    <w:rsid w:val="00330159"/>
    <w:rsid w:val="00333907"/>
    <w:rsid w:val="003356BC"/>
    <w:rsid w:val="00336859"/>
    <w:rsid w:val="00355D7F"/>
    <w:rsid w:val="00357308"/>
    <w:rsid w:val="00361B52"/>
    <w:rsid w:val="00364D66"/>
    <w:rsid w:val="00365CEE"/>
    <w:rsid w:val="003725E0"/>
    <w:rsid w:val="00375595"/>
    <w:rsid w:val="00376ED0"/>
    <w:rsid w:val="00384D86"/>
    <w:rsid w:val="0039642D"/>
    <w:rsid w:val="00396CE6"/>
    <w:rsid w:val="003A751B"/>
    <w:rsid w:val="003C4462"/>
    <w:rsid w:val="003C44E3"/>
    <w:rsid w:val="003D74C1"/>
    <w:rsid w:val="003E2451"/>
    <w:rsid w:val="003E290A"/>
    <w:rsid w:val="003E5A7F"/>
    <w:rsid w:val="003F400F"/>
    <w:rsid w:val="003F63FB"/>
    <w:rsid w:val="0040166D"/>
    <w:rsid w:val="00422507"/>
    <w:rsid w:val="00433DFD"/>
    <w:rsid w:val="00442780"/>
    <w:rsid w:val="004560AD"/>
    <w:rsid w:val="00460FB8"/>
    <w:rsid w:val="004635C8"/>
    <w:rsid w:val="004649F4"/>
    <w:rsid w:val="004662B3"/>
    <w:rsid w:val="00467007"/>
    <w:rsid w:val="004676C7"/>
    <w:rsid w:val="00474A44"/>
    <w:rsid w:val="00477EB8"/>
    <w:rsid w:val="0049218F"/>
    <w:rsid w:val="00495D03"/>
    <w:rsid w:val="004A0156"/>
    <w:rsid w:val="004A1518"/>
    <w:rsid w:val="004B2908"/>
    <w:rsid w:val="004B2935"/>
    <w:rsid w:val="004B5BE8"/>
    <w:rsid w:val="004C4CF7"/>
    <w:rsid w:val="004C771A"/>
    <w:rsid w:val="004C7A24"/>
    <w:rsid w:val="004D07B5"/>
    <w:rsid w:val="004D0ADD"/>
    <w:rsid w:val="004D1AAE"/>
    <w:rsid w:val="004D3C26"/>
    <w:rsid w:val="004D7576"/>
    <w:rsid w:val="004E1703"/>
    <w:rsid w:val="004F2E31"/>
    <w:rsid w:val="004F5CDE"/>
    <w:rsid w:val="005047BF"/>
    <w:rsid w:val="00514190"/>
    <w:rsid w:val="00514F1E"/>
    <w:rsid w:val="00516391"/>
    <w:rsid w:val="00531BA7"/>
    <w:rsid w:val="005338C7"/>
    <w:rsid w:val="00543791"/>
    <w:rsid w:val="00543900"/>
    <w:rsid w:val="00543E18"/>
    <w:rsid w:val="005552E8"/>
    <w:rsid w:val="005564CF"/>
    <w:rsid w:val="005630A9"/>
    <w:rsid w:val="00564086"/>
    <w:rsid w:val="00566FAB"/>
    <w:rsid w:val="00581946"/>
    <w:rsid w:val="00584AC7"/>
    <w:rsid w:val="00586056"/>
    <w:rsid w:val="005906C5"/>
    <w:rsid w:val="00593F80"/>
    <w:rsid w:val="005A07B1"/>
    <w:rsid w:val="005B47EF"/>
    <w:rsid w:val="005B4BF2"/>
    <w:rsid w:val="005B5BBA"/>
    <w:rsid w:val="005C297C"/>
    <w:rsid w:val="005D1D9F"/>
    <w:rsid w:val="005D3C3B"/>
    <w:rsid w:val="005D3CF6"/>
    <w:rsid w:val="005D4569"/>
    <w:rsid w:val="005E07C0"/>
    <w:rsid w:val="005E59F7"/>
    <w:rsid w:val="005E63A6"/>
    <w:rsid w:val="005F126A"/>
    <w:rsid w:val="005F357B"/>
    <w:rsid w:val="005F3596"/>
    <w:rsid w:val="00601731"/>
    <w:rsid w:val="0060464B"/>
    <w:rsid w:val="00611C2B"/>
    <w:rsid w:val="0061297D"/>
    <w:rsid w:val="00616126"/>
    <w:rsid w:val="00616C4B"/>
    <w:rsid w:val="00616EB9"/>
    <w:rsid w:val="006302A1"/>
    <w:rsid w:val="00631101"/>
    <w:rsid w:val="00634BE8"/>
    <w:rsid w:val="00635ED4"/>
    <w:rsid w:val="00640648"/>
    <w:rsid w:val="00640BC0"/>
    <w:rsid w:val="00643768"/>
    <w:rsid w:val="0064422F"/>
    <w:rsid w:val="0064553A"/>
    <w:rsid w:val="0065060F"/>
    <w:rsid w:val="00661116"/>
    <w:rsid w:val="00667FBE"/>
    <w:rsid w:val="006752B6"/>
    <w:rsid w:val="006830FA"/>
    <w:rsid w:val="0068372A"/>
    <w:rsid w:val="00687154"/>
    <w:rsid w:val="00690C67"/>
    <w:rsid w:val="0069186A"/>
    <w:rsid w:val="006918EC"/>
    <w:rsid w:val="00694365"/>
    <w:rsid w:val="006A37E0"/>
    <w:rsid w:val="006B1532"/>
    <w:rsid w:val="006B5D11"/>
    <w:rsid w:val="006C33C8"/>
    <w:rsid w:val="006D03B8"/>
    <w:rsid w:val="006D15DE"/>
    <w:rsid w:val="006D32C8"/>
    <w:rsid w:val="006D7786"/>
    <w:rsid w:val="006E0342"/>
    <w:rsid w:val="006E2465"/>
    <w:rsid w:val="006E342F"/>
    <w:rsid w:val="006E609F"/>
    <w:rsid w:val="006F2475"/>
    <w:rsid w:val="006F36AE"/>
    <w:rsid w:val="006F40E7"/>
    <w:rsid w:val="0070337C"/>
    <w:rsid w:val="00703AC9"/>
    <w:rsid w:val="00706AF8"/>
    <w:rsid w:val="00710EEB"/>
    <w:rsid w:val="0071714E"/>
    <w:rsid w:val="007177B0"/>
    <w:rsid w:val="0072160B"/>
    <w:rsid w:val="00736CC3"/>
    <w:rsid w:val="00751446"/>
    <w:rsid w:val="00752663"/>
    <w:rsid w:val="007540E3"/>
    <w:rsid w:val="00797696"/>
    <w:rsid w:val="007A351F"/>
    <w:rsid w:val="007A3B11"/>
    <w:rsid w:val="007A7A98"/>
    <w:rsid w:val="007B44CA"/>
    <w:rsid w:val="007D1522"/>
    <w:rsid w:val="007D489E"/>
    <w:rsid w:val="007D48FD"/>
    <w:rsid w:val="007E187D"/>
    <w:rsid w:val="007E3AEB"/>
    <w:rsid w:val="007E3E6C"/>
    <w:rsid w:val="007F01F9"/>
    <w:rsid w:val="007F0A21"/>
    <w:rsid w:val="007F2798"/>
    <w:rsid w:val="007F3D13"/>
    <w:rsid w:val="00803AEB"/>
    <w:rsid w:val="008045F4"/>
    <w:rsid w:val="0080753A"/>
    <w:rsid w:val="008163D6"/>
    <w:rsid w:val="0081652C"/>
    <w:rsid w:val="00821CE1"/>
    <w:rsid w:val="00832895"/>
    <w:rsid w:val="00837F04"/>
    <w:rsid w:val="0084192C"/>
    <w:rsid w:val="00843C09"/>
    <w:rsid w:val="0084548D"/>
    <w:rsid w:val="00850E20"/>
    <w:rsid w:val="00853521"/>
    <w:rsid w:val="0085725D"/>
    <w:rsid w:val="0086137E"/>
    <w:rsid w:val="008649D0"/>
    <w:rsid w:val="00864A76"/>
    <w:rsid w:val="00865319"/>
    <w:rsid w:val="00872AF8"/>
    <w:rsid w:val="008871C4"/>
    <w:rsid w:val="00893F1B"/>
    <w:rsid w:val="008B1350"/>
    <w:rsid w:val="008B3A35"/>
    <w:rsid w:val="008B3AFE"/>
    <w:rsid w:val="008B7D7B"/>
    <w:rsid w:val="008C04E3"/>
    <w:rsid w:val="008C200A"/>
    <w:rsid w:val="008C28D6"/>
    <w:rsid w:val="008D08B6"/>
    <w:rsid w:val="008D0E8D"/>
    <w:rsid w:val="008D0E96"/>
    <w:rsid w:val="008E2F7D"/>
    <w:rsid w:val="008F4AAD"/>
    <w:rsid w:val="008F5EFD"/>
    <w:rsid w:val="0091228E"/>
    <w:rsid w:val="0091704B"/>
    <w:rsid w:val="009234ED"/>
    <w:rsid w:val="0092434A"/>
    <w:rsid w:val="0092677D"/>
    <w:rsid w:val="00944F35"/>
    <w:rsid w:val="009455B3"/>
    <w:rsid w:val="00947A45"/>
    <w:rsid w:val="00955B03"/>
    <w:rsid w:val="0095767C"/>
    <w:rsid w:val="009577BD"/>
    <w:rsid w:val="00957C9A"/>
    <w:rsid w:val="009658B3"/>
    <w:rsid w:val="00965CE2"/>
    <w:rsid w:val="0097353B"/>
    <w:rsid w:val="00976A1D"/>
    <w:rsid w:val="00976E17"/>
    <w:rsid w:val="009826A0"/>
    <w:rsid w:val="00992CD6"/>
    <w:rsid w:val="009931CD"/>
    <w:rsid w:val="009A0F7E"/>
    <w:rsid w:val="009B508B"/>
    <w:rsid w:val="009B6AC6"/>
    <w:rsid w:val="009E57A2"/>
    <w:rsid w:val="009E6C8D"/>
    <w:rsid w:val="009E761F"/>
    <w:rsid w:val="009F46DC"/>
    <w:rsid w:val="00A05E29"/>
    <w:rsid w:val="00A1208B"/>
    <w:rsid w:val="00A1743D"/>
    <w:rsid w:val="00A17444"/>
    <w:rsid w:val="00A174B0"/>
    <w:rsid w:val="00A23106"/>
    <w:rsid w:val="00A33097"/>
    <w:rsid w:val="00A404E0"/>
    <w:rsid w:val="00A57055"/>
    <w:rsid w:val="00A605B0"/>
    <w:rsid w:val="00A66C13"/>
    <w:rsid w:val="00A67D05"/>
    <w:rsid w:val="00A71780"/>
    <w:rsid w:val="00A73BDC"/>
    <w:rsid w:val="00A758D1"/>
    <w:rsid w:val="00A76612"/>
    <w:rsid w:val="00A84D9E"/>
    <w:rsid w:val="00A8705A"/>
    <w:rsid w:val="00A92909"/>
    <w:rsid w:val="00A941EE"/>
    <w:rsid w:val="00A95A3A"/>
    <w:rsid w:val="00AA1F37"/>
    <w:rsid w:val="00AA5938"/>
    <w:rsid w:val="00AC1C62"/>
    <w:rsid w:val="00AC5CDB"/>
    <w:rsid w:val="00AD0FCD"/>
    <w:rsid w:val="00AD31E9"/>
    <w:rsid w:val="00AE499E"/>
    <w:rsid w:val="00AE6F1B"/>
    <w:rsid w:val="00AE7974"/>
    <w:rsid w:val="00AF02FC"/>
    <w:rsid w:val="00AF2491"/>
    <w:rsid w:val="00AF4821"/>
    <w:rsid w:val="00AF7731"/>
    <w:rsid w:val="00B00D3C"/>
    <w:rsid w:val="00B01281"/>
    <w:rsid w:val="00B026FA"/>
    <w:rsid w:val="00B107DD"/>
    <w:rsid w:val="00B12639"/>
    <w:rsid w:val="00B25DE7"/>
    <w:rsid w:val="00B40B68"/>
    <w:rsid w:val="00B5528B"/>
    <w:rsid w:val="00B57B15"/>
    <w:rsid w:val="00B604A7"/>
    <w:rsid w:val="00B66097"/>
    <w:rsid w:val="00B71E9F"/>
    <w:rsid w:val="00B8165F"/>
    <w:rsid w:val="00B82175"/>
    <w:rsid w:val="00B947B4"/>
    <w:rsid w:val="00BA654A"/>
    <w:rsid w:val="00BA70D0"/>
    <w:rsid w:val="00BA7256"/>
    <w:rsid w:val="00BB19EB"/>
    <w:rsid w:val="00BB53CC"/>
    <w:rsid w:val="00BB7039"/>
    <w:rsid w:val="00BC4C02"/>
    <w:rsid w:val="00BC5D93"/>
    <w:rsid w:val="00BC7B8D"/>
    <w:rsid w:val="00BD0181"/>
    <w:rsid w:val="00BE0508"/>
    <w:rsid w:val="00BE6295"/>
    <w:rsid w:val="00BF03E8"/>
    <w:rsid w:val="00BF55FD"/>
    <w:rsid w:val="00BF5883"/>
    <w:rsid w:val="00C0291E"/>
    <w:rsid w:val="00C02C5E"/>
    <w:rsid w:val="00C069EE"/>
    <w:rsid w:val="00C15A06"/>
    <w:rsid w:val="00C33C46"/>
    <w:rsid w:val="00C452F7"/>
    <w:rsid w:val="00C50D02"/>
    <w:rsid w:val="00C517D5"/>
    <w:rsid w:val="00C551B1"/>
    <w:rsid w:val="00C65517"/>
    <w:rsid w:val="00C676E2"/>
    <w:rsid w:val="00C74550"/>
    <w:rsid w:val="00C75B61"/>
    <w:rsid w:val="00C842CC"/>
    <w:rsid w:val="00C91890"/>
    <w:rsid w:val="00C92530"/>
    <w:rsid w:val="00CA0AAE"/>
    <w:rsid w:val="00CA0E81"/>
    <w:rsid w:val="00CA2238"/>
    <w:rsid w:val="00CA22E8"/>
    <w:rsid w:val="00CB2572"/>
    <w:rsid w:val="00CB74E8"/>
    <w:rsid w:val="00CC1FD7"/>
    <w:rsid w:val="00CC336D"/>
    <w:rsid w:val="00CC5DC1"/>
    <w:rsid w:val="00CC74C5"/>
    <w:rsid w:val="00CD19EA"/>
    <w:rsid w:val="00CD4457"/>
    <w:rsid w:val="00CE2FC3"/>
    <w:rsid w:val="00CE51F5"/>
    <w:rsid w:val="00CE72FF"/>
    <w:rsid w:val="00CE7573"/>
    <w:rsid w:val="00CF1BF7"/>
    <w:rsid w:val="00D01596"/>
    <w:rsid w:val="00D02B63"/>
    <w:rsid w:val="00D0370D"/>
    <w:rsid w:val="00D12879"/>
    <w:rsid w:val="00D17E90"/>
    <w:rsid w:val="00D22F38"/>
    <w:rsid w:val="00D3146A"/>
    <w:rsid w:val="00D31B5B"/>
    <w:rsid w:val="00D34A91"/>
    <w:rsid w:val="00D4301D"/>
    <w:rsid w:val="00D43FCA"/>
    <w:rsid w:val="00D47279"/>
    <w:rsid w:val="00D50838"/>
    <w:rsid w:val="00D50C7F"/>
    <w:rsid w:val="00D5688F"/>
    <w:rsid w:val="00D56D4D"/>
    <w:rsid w:val="00D661CF"/>
    <w:rsid w:val="00D93192"/>
    <w:rsid w:val="00D9374B"/>
    <w:rsid w:val="00DA0B51"/>
    <w:rsid w:val="00DA1B97"/>
    <w:rsid w:val="00DA39A7"/>
    <w:rsid w:val="00DB1561"/>
    <w:rsid w:val="00DB2196"/>
    <w:rsid w:val="00DB3B9C"/>
    <w:rsid w:val="00DB7D31"/>
    <w:rsid w:val="00DC2167"/>
    <w:rsid w:val="00DC24EA"/>
    <w:rsid w:val="00DC7730"/>
    <w:rsid w:val="00DD2190"/>
    <w:rsid w:val="00DD49A1"/>
    <w:rsid w:val="00DF0BD0"/>
    <w:rsid w:val="00DF394F"/>
    <w:rsid w:val="00DF6AD6"/>
    <w:rsid w:val="00E0312A"/>
    <w:rsid w:val="00E109F4"/>
    <w:rsid w:val="00E35ED0"/>
    <w:rsid w:val="00E40944"/>
    <w:rsid w:val="00E44609"/>
    <w:rsid w:val="00E44ECB"/>
    <w:rsid w:val="00E46571"/>
    <w:rsid w:val="00E61E01"/>
    <w:rsid w:val="00E70042"/>
    <w:rsid w:val="00E7029B"/>
    <w:rsid w:val="00E70335"/>
    <w:rsid w:val="00EA142E"/>
    <w:rsid w:val="00EA19AC"/>
    <w:rsid w:val="00EA305A"/>
    <w:rsid w:val="00EA6200"/>
    <w:rsid w:val="00EB3058"/>
    <w:rsid w:val="00EC0E23"/>
    <w:rsid w:val="00EC506A"/>
    <w:rsid w:val="00EC604A"/>
    <w:rsid w:val="00ED3E7C"/>
    <w:rsid w:val="00EE5561"/>
    <w:rsid w:val="00EE74E6"/>
    <w:rsid w:val="00EF1F91"/>
    <w:rsid w:val="00EF5AFE"/>
    <w:rsid w:val="00F006F9"/>
    <w:rsid w:val="00F0081B"/>
    <w:rsid w:val="00F16664"/>
    <w:rsid w:val="00F23B13"/>
    <w:rsid w:val="00F2669E"/>
    <w:rsid w:val="00F4107D"/>
    <w:rsid w:val="00F411C9"/>
    <w:rsid w:val="00F439D1"/>
    <w:rsid w:val="00F43FCC"/>
    <w:rsid w:val="00F465D7"/>
    <w:rsid w:val="00F53739"/>
    <w:rsid w:val="00F6029F"/>
    <w:rsid w:val="00F74316"/>
    <w:rsid w:val="00F87592"/>
    <w:rsid w:val="00F91F25"/>
    <w:rsid w:val="00FA7374"/>
    <w:rsid w:val="00FB7B84"/>
    <w:rsid w:val="00FC0342"/>
    <w:rsid w:val="00FC5B4C"/>
    <w:rsid w:val="00FC7147"/>
    <w:rsid w:val="00FD0A92"/>
    <w:rsid w:val="00FD394F"/>
    <w:rsid w:val="00FD4C95"/>
    <w:rsid w:val="00FD5D68"/>
    <w:rsid w:val="00FD7E98"/>
    <w:rsid w:val="00FE21AE"/>
    <w:rsid w:val="00FE2B1F"/>
    <w:rsid w:val="00FE659D"/>
    <w:rsid w:val="00FE66C1"/>
    <w:rsid w:val="00FE7AE6"/>
    <w:rsid w:val="047867DE"/>
    <w:rsid w:val="06272BF9"/>
    <w:rsid w:val="06C04AEA"/>
    <w:rsid w:val="09B07E99"/>
    <w:rsid w:val="09F532CD"/>
    <w:rsid w:val="0C800D06"/>
    <w:rsid w:val="0D166265"/>
    <w:rsid w:val="0EB553A1"/>
    <w:rsid w:val="0EFC0C1C"/>
    <w:rsid w:val="10741C20"/>
    <w:rsid w:val="136F6980"/>
    <w:rsid w:val="14434B85"/>
    <w:rsid w:val="1745623D"/>
    <w:rsid w:val="18E55D4E"/>
    <w:rsid w:val="1B01074D"/>
    <w:rsid w:val="1D1327C1"/>
    <w:rsid w:val="1FA37DA5"/>
    <w:rsid w:val="1FDE70B6"/>
    <w:rsid w:val="1FF269E9"/>
    <w:rsid w:val="24C07153"/>
    <w:rsid w:val="24CB3C03"/>
    <w:rsid w:val="26435EC5"/>
    <w:rsid w:val="287C0BB0"/>
    <w:rsid w:val="29407343"/>
    <w:rsid w:val="296B67CF"/>
    <w:rsid w:val="29EC45E4"/>
    <w:rsid w:val="2A1B1983"/>
    <w:rsid w:val="2D9773DF"/>
    <w:rsid w:val="2E38411D"/>
    <w:rsid w:val="2E617DC2"/>
    <w:rsid w:val="300D096E"/>
    <w:rsid w:val="326251F0"/>
    <w:rsid w:val="351F3F9E"/>
    <w:rsid w:val="35932433"/>
    <w:rsid w:val="37136223"/>
    <w:rsid w:val="38793BEB"/>
    <w:rsid w:val="3A1372DF"/>
    <w:rsid w:val="3C1F6635"/>
    <w:rsid w:val="3DE9090D"/>
    <w:rsid w:val="40C045E1"/>
    <w:rsid w:val="41B03667"/>
    <w:rsid w:val="41EC701C"/>
    <w:rsid w:val="458E4192"/>
    <w:rsid w:val="477517FF"/>
    <w:rsid w:val="47ED37CC"/>
    <w:rsid w:val="4C1075DA"/>
    <w:rsid w:val="4EEC05F8"/>
    <w:rsid w:val="515C58DC"/>
    <w:rsid w:val="54804E52"/>
    <w:rsid w:val="5617211A"/>
    <w:rsid w:val="56231AF9"/>
    <w:rsid w:val="562876A0"/>
    <w:rsid w:val="572D203D"/>
    <w:rsid w:val="576E2BF7"/>
    <w:rsid w:val="5A434435"/>
    <w:rsid w:val="5C68635E"/>
    <w:rsid w:val="5C757E7F"/>
    <w:rsid w:val="5CB55A62"/>
    <w:rsid w:val="61897C7D"/>
    <w:rsid w:val="622324E7"/>
    <w:rsid w:val="638F7030"/>
    <w:rsid w:val="63E3309D"/>
    <w:rsid w:val="63FD5065"/>
    <w:rsid w:val="652C7956"/>
    <w:rsid w:val="65E82BB0"/>
    <w:rsid w:val="66475F83"/>
    <w:rsid w:val="67114C48"/>
    <w:rsid w:val="6805050D"/>
    <w:rsid w:val="68835E95"/>
    <w:rsid w:val="6ACC26A1"/>
    <w:rsid w:val="6B6E1A81"/>
    <w:rsid w:val="6D974FF5"/>
    <w:rsid w:val="6E59291F"/>
    <w:rsid w:val="6F75061D"/>
    <w:rsid w:val="6FA406E9"/>
    <w:rsid w:val="70326D73"/>
    <w:rsid w:val="7282787A"/>
    <w:rsid w:val="73476E09"/>
    <w:rsid w:val="749D0F87"/>
    <w:rsid w:val="76B327E3"/>
    <w:rsid w:val="784F1C9E"/>
    <w:rsid w:val="79F41117"/>
    <w:rsid w:val="7C1B75A7"/>
    <w:rsid w:val="7C2F020D"/>
    <w:rsid w:val="7C4C4B31"/>
    <w:rsid w:val="7EDB4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1"/>
    <w:link w:val="20"/>
    <w:unhideWhenUsed/>
    <w:qFormat/>
    <w:uiPriority w:val="0"/>
    <w:pPr>
      <w:spacing w:after="120" w:line="480" w:lineRule="auto"/>
      <w:ind w:firstLine="200" w:firstLineChars="200"/>
    </w:pPr>
    <w:rPr>
      <w:rFonts w:ascii="Times New Roman" w:hAnsi="Times New Roman"/>
      <w:szCs w:val="20"/>
    </w:rPr>
  </w:style>
  <w:style w:type="paragraph" w:styleId="3">
    <w:name w:val="Normal Indent"/>
    <w:basedOn w:val="1"/>
    <w:qFormat/>
    <w:uiPriority w:val="0"/>
    <w:pPr>
      <w:ind w:firstLine="420" w:firstLineChars="200"/>
    </w:pPr>
  </w:style>
  <w:style w:type="paragraph" w:styleId="4">
    <w:name w:val="Body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paragraph" w:styleId="5">
    <w:name w:val="toc 3"/>
    <w:basedOn w:val="1"/>
    <w:next w:val="1"/>
    <w:qFormat/>
    <w:uiPriority w:val="99"/>
    <w:pPr>
      <w:spacing w:line="600" w:lineRule="exact"/>
      <w:ind w:firstLine="640" w:firstLineChars="200"/>
    </w:pPr>
    <w:rPr>
      <w:rFonts w:ascii="楷体_GB2312" w:hAnsi="楷体" w:eastAsia="楷体_GB2312" w:cs="仿宋"/>
      <w:sz w:val="32"/>
      <w:szCs w:val="32"/>
    </w:rPr>
  </w:style>
  <w:style w:type="paragraph" w:styleId="6">
    <w:name w:val="Date"/>
    <w:basedOn w:val="1"/>
    <w:next w:val="1"/>
    <w:link w:val="18"/>
    <w:qFormat/>
    <w:uiPriority w:val="0"/>
    <w:pPr>
      <w:ind w:left="100" w:leftChars="2500"/>
    </w:pPr>
  </w:style>
  <w:style w:type="paragraph" w:styleId="7">
    <w:name w:val="Balloon Text"/>
    <w:basedOn w:val="1"/>
    <w:link w:val="19"/>
    <w:qFormat/>
    <w:uiPriority w:val="0"/>
    <w:rPr>
      <w:sz w:val="18"/>
      <w:szCs w:val="18"/>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bCs/>
    </w:rPr>
  </w:style>
  <w:style w:type="character" w:styleId="15">
    <w:name w:val="page number"/>
    <w:basedOn w:val="13"/>
    <w:qFormat/>
    <w:uiPriority w:val="0"/>
  </w:style>
  <w:style w:type="character" w:customStyle="1" w:styleId="16">
    <w:name w:val="页眉 Char"/>
    <w:basedOn w:val="13"/>
    <w:link w:val="9"/>
    <w:qFormat/>
    <w:uiPriority w:val="0"/>
    <w:rPr>
      <w:kern w:val="2"/>
      <w:sz w:val="18"/>
      <w:szCs w:val="18"/>
    </w:rPr>
  </w:style>
  <w:style w:type="character" w:customStyle="1" w:styleId="17">
    <w:name w:val="页脚 Char"/>
    <w:basedOn w:val="13"/>
    <w:link w:val="8"/>
    <w:qFormat/>
    <w:uiPriority w:val="0"/>
    <w:rPr>
      <w:kern w:val="2"/>
      <w:sz w:val="18"/>
      <w:szCs w:val="18"/>
    </w:rPr>
  </w:style>
  <w:style w:type="character" w:customStyle="1" w:styleId="18">
    <w:name w:val="日期 Char"/>
    <w:basedOn w:val="13"/>
    <w:link w:val="6"/>
    <w:qFormat/>
    <w:uiPriority w:val="0"/>
    <w:rPr>
      <w:kern w:val="2"/>
      <w:sz w:val="21"/>
      <w:szCs w:val="24"/>
    </w:rPr>
  </w:style>
  <w:style w:type="character" w:customStyle="1" w:styleId="19">
    <w:name w:val="批注框文本 Char"/>
    <w:basedOn w:val="13"/>
    <w:link w:val="7"/>
    <w:qFormat/>
    <w:uiPriority w:val="0"/>
    <w:rPr>
      <w:kern w:val="2"/>
      <w:sz w:val="18"/>
      <w:szCs w:val="18"/>
    </w:rPr>
  </w:style>
  <w:style w:type="character" w:customStyle="1" w:styleId="20">
    <w:name w:val="正文文本 2 Char"/>
    <w:basedOn w:val="13"/>
    <w:link w:val="2"/>
    <w:qFormat/>
    <w:uiPriority w:val="0"/>
    <w:rPr>
      <w:rFonts w:ascii="Times New Roman" w:hAnsi="Times New Roman"/>
      <w:kern w:val="2"/>
      <w:sz w:val="21"/>
    </w:rPr>
  </w:style>
  <w:style w:type="paragraph" w:customStyle="1" w:styleId="21">
    <w:name w:val="仿宋首行缩进"/>
    <w:basedOn w:val="1"/>
    <w:qFormat/>
    <w:uiPriority w:val="0"/>
    <w:pPr>
      <w:adjustRightInd w:val="0"/>
      <w:snapToGrid w:val="0"/>
      <w:spacing w:line="360" w:lineRule="auto"/>
      <w:ind w:firstLine="505"/>
      <w:textAlignment w:val="baseline"/>
    </w:pPr>
    <w:rPr>
      <w:rFonts w:ascii="仿宋_GB2312" w:hAnsi="Times New Roman" w:eastAsia="仿宋_GB2312"/>
      <w:kern w:val="0"/>
      <w:sz w:val="28"/>
      <w:szCs w:val="20"/>
    </w:rPr>
  </w:style>
  <w:style w:type="paragraph" w:customStyle="1" w:styleId="22">
    <w:name w:val="Char Char Char Char Char Char Char"/>
    <w:basedOn w:val="1"/>
    <w:qFormat/>
    <w:uiPriority w:val="0"/>
    <w:rPr>
      <w:rFonts w:ascii="Times New Roman" w:hAnsi="Times New Roman"/>
      <w:szCs w:val="21"/>
    </w:rPr>
  </w:style>
  <w:style w:type="paragraph" w:customStyle="1" w:styleId="23">
    <w:name w:val="正文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4">
    <w:name w:val="List Paragraph"/>
    <w:basedOn w:val="1"/>
    <w:unhideWhenUsed/>
    <w:qFormat/>
    <w:uiPriority w:val="34"/>
    <w:pPr>
      <w:ind w:firstLine="420" w:firstLineChars="200"/>
    </w:pPr>
    <w:rPr>
      <w:rFonts w:asciiTheme="minorHAnsi" w:hAnsiTheme="minorHAnsi" w:eastAsiaTheme="minorEastAsia" w:cstheme="minorBidi"/>
    </w:rPr>
  </w:style>
  <w:style w:type="paragraph" w:customStyle="1" w:styleId="25">
    <w:name w:val="p0"/>
    <w:basedOn w:val="1"/>
    <w:qFormat/>
    <w:uiPriority w:val="0"/>
    <w:pPr>
      <w:widowControl/>
    </w:pPr>
    <w:rPr>
      <w:rFonts w:ascii="Times New Roman" w:hAnsi="Times New Roman" w:eastAsia="宋体" w:cs="Times New Roman"/>
      <w:kern w:val="0"/>
      <w:szCs w:val="21"/>
    </w:rPr>
  </w:style>
  <w:style w:type="character" w:customStyle="1" w:styleId="26">
    <w:name w:val="font41"/>
    <w:basedOn w:val="13"/>
    <w:qFormat/>
    <w:uiPriority w:val="0"/>
    <w:rPr>
      <w:rFonts w:hint="eastAsia" w:ascii="仿宋_GB2312" w:eastAsia="仿宋_GB2312" w:cs="仿宋_GB2312"/>
      <w:color w:val="000000"/>
      <w:sz w:val="20"/>
      <w:szCs w:val="20"/>
      <w:u w:val="none"/>
    </w:rPr>
  </w:style>
  <w:style w:type="character" w:customStyle="1" w:styleId="27">
    <w:name w:val="font71"/>
    <w:basedOn w:val="13"/>
    <w:qFormat/>
    <w:uiPriority w:val="0"/>
    <w:rPr>
      <w:rFonts w:hint="eastAsia" w:ascii="仿宋_GB2312" w:eastAsia="仿宋_GB2312" w:cs="仿宋_GB2312"/>
      <w:color w:val="000000"/>
      <w:sz w:val="20"/>
      <w:szCs w:val="20"/>
      <w:u w:val="none"/>
      <w:vertAlign w:val="superscript"/>
    </w:rPr>
  </w:style>
  <w:style w:type="character" w:customStyle="1" w:styleId="28">
    <w:name w:val="font91"/>
    <w:basedOn w:val="13"/>
    <w:qFormat/>
    <w:uiPriority w:val="0"/>
    <w:rPr>
      <w:rFonts w:ascii="仿宋_GB2312" w:eastAsia="仿宋_GB2312" w:cs="仿宋_GB2312"/>
      <w:b/>
      <w:bCs/>
      <w:color w:val="000000"/>
      <w:sz w:val="24"/>
      <w:szCs w:val="24"/>
      <w:u w:val="none"/>
    </w:rPr>
  </w:style>
  <w:style w:type="character" w:customStyle="1" w:styleId="29">
    <w:name w:val="font81"/>
    <w:basedOn w:val="13"/>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13364C-F392-4023-A850-2ABE6FE288DC}">
  <ds:schemaRefs/>
</ds:datastoreItem>
</file>

<file path=docProps/app.xml><?xml version="1.0" encoding="utf-8"?>
<Properties xmlns="http://schemas.openxmlformats.org/officeDocument/2006/extended-properties" xmlns:vt="http://schemas.openxmlformats.org/officeDocument/2006/docPropsVTypes">
  <Template>Normal</Template>
  <Pages>21</Pages>
  <Words>6909</Words>
  <Characters>7179</Characters>
  <Lines>1</Lines>
  <Paragraphs>1</Paragraphs>
  <TotalTime>3</TotalTime>
  <ScaleCrop>false</ScaleCrop>
  <LinksUpToDate>false</LinksUpToDate>
  <CharactersWithSpaces>7286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2020-06-17T00:47:00Z</dcterms:created>
  <dc:creator>金嘉纯</dc:creator>
  <cp:lastModifiedBy>Administrator</cp:lastModifiedBy>
  <cp:lastPrinted>2024-08-13T07:10:00Z</cp:lastPrinted>
  <dcterms:modified xsi:type="dcterms:W3CDTF">2024-08-19T08:40:06Z</dcterms:modified>
  <cp:revision>347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82D5867308064292A17FCCD6075EB2A0_13</vt:lpwstr>
  </property>
</Properties>
</file>