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仿宋_GB2312" w:hAnsi="华文中宋" w:eastAsia="仿宋_GB2312" w:cs="宋体"/>
          <w:color w:val="000000" w:themeColor="text1"/>
          <w:kern w:val="0"/>
          <w:sz w:val="30"/>
          <w:szCs w:val="30"/>
          <w:shd w:val="clear" w:color="auto" w:fill="FFFFFF" w:themeFill="background1"/>
        </w:rPr>
      </w:pPr>
      <w:bookmarkStart w:id="0" w:name="_GoBack"/>
      <w:bookmarkEnd w:id="0"/>
      <w:r>
        <w:rPr>
          <w:rFonts w:hint="eastAsia" w:ascii="仿宋_GB2312" w:hAnsi="华文中宋" w:eastAsia="仿宋_GB2312" w:cs="宋体"/>
          <w:color w:val="000000" w:themeColor="text1"/>
          <w:kern w:val="0"/>
          <w:sz w:val="30"/>
          <w:szCs w:val="30"/>
          <w:shd w:val="clear" w:color="auto" w:fill="FFFFFF" w:themeFill="background1"/>
        </w:rPr>
        <w:t xml:space="preserve">附件1   </w:t>
      </w:r>
    </w:p>
    <w:p>
      <w:pPr>
        <w:widowControl/>
        <w:shd w:val="clear" w:color="auto" w:fill="FFFFFF"/>
        <w:adjustRightInd w:val="0"/>
        <w:snapToGrid w:val="0"/>
        <w:ind w:firstLine="1200" w:firstLineChars="400"/>
        <w:rPr>
          <w:rFonts w:ascii="华文中宋" w:hAnsi="华文中宋" w:eastAsia="华文中宋" w:cs="宋体"/>
          <w:color w:val="000000" w:themeColor="text1"/>
          <w:kern w:val="0"/>
          <w:sz w:val="30"/>
          <w:szCs w:val="30"/>
          <w:shd w:val="clear" w:color="auto" w:fill="FFFFFF" w:themeFill="background1"/>
        </w:rPr>
      </w:pPr>
      <w:r>
        <w:rPr>
          <w:rFonts w:hint="eastAsia" w:ascii="华文中宋" w:hAnsi="华文中宋" w:eastAsia="华文中宋" w:cs="宋体"/>
          <w:color w:val="000000" w:themeColor="text1"/>
          <w:kern w:val="0"/>
          <w:sz w:val="30"/>
          <w:szCs w:val="30"/>
          <w:shd w:val="clear" w:color="auto" w:fill="FFFFFF" w:themeFill="background1"/>
        </w:rPr>
        <w:t>2023年度浦东新区科技发展基金事业单位</w:t>
      </w:r>
    </w:p>
    <w:p>
      <w:pPr>
        <w:widowControl/>
        <w:shd w:val="clear" w:color="auto" w:fill="FFFFFF"/>
        <w:adjustRightInd w:val="0"/>
        <w:snapToGrid w:val="0"/>
        <w:ind w:firstLine="750" w:firstLineChars="250"/>
        <w:rPr>
          <w:rFonts w:ascii="华文中宋" w:hAnsi="华文中宋" w:eastAsia="华文中宋" w:cs="宋体"/>
          <w:color w:val="000000" w:themeColor="text1"/>
          <w:kern w:val="0"/>
          <w:sz w:val="30"/>
          <w:szCs w:val="30"/>
          <w:shd w:val="clear" w:color="auto" w:fill="FFFFFF" w:themeFill="background1"/>
        </w:rPr>
      </w:pPr>
      <w:r>
        <w:rPr>
          <w:rFonts w:hint="eastAsia" w:ascii="华文中宋" w:hAnsi="华文中宋" w:eastAsia="华文中宋" w:cs="宋体"/>
          <w:color w:val="000000" w:themeColor="text1"/>
          <w:kern w:val="0"/>
          <w:sz w:val="30"/>
          <w:szCs w:val="30"/>
          <w:shd w:val="clear" w:color="auto" w:fill="FFFFFF" w:themeFill="background1"/>
        </w:rPr>
        <w:t>民生科研专项（农业、城建和环保）项目拟立项名单</w:t>
      </w:r>
    </w:p>
    <w:tbl>
      <w:tblPr>
        <w:tblStyle w:val="4"/>
        <w:tblW w:w="7800" w:type="dxa"/>
        <w:jc w:val="center"/>
        <w:tblLayout w:type="autofit"/>
        <w:tblCellMar>
          <w:top w:w="0" w:type="dxa"/>
          <w:left w:w="108" w:type="dxa"/>
          <w:bottom w:w="0" w:type="dxa"/>
          <w:right w:w="108" w:type="dxa"/>
        </w:tblCellMar>
      </w:tblPr>
      <w:tblGrid>
        <w:gridCol w:w="820"/>
        <w:gridCol w:w="4157"/>
        <w:gridCol w:w="2823"/>
      </w:tblGrid>
      <w:tr>
        <w:tblPrEx>
          <w:tblCellMar>
            <w:top w:w="0" w:type="dxa"/>
            <w:left w:w="108" w:type="dxa"/>
            <w:bottom w:w="0" w:type="dxa"/>
            <w:right w:w="108" w:type="dxa"/>
          </w:tblCellMar>
        </w:tblPrEx>
        <w:trPr>
          <w:trHeight w:val="8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bCs/>
                <w:color w:val="000000"/>
                <w:kern w:val="0"/>
                <w:sz w:val="24"/>
                <w:szCs w:val="24"/>
                <w:shd w:val="clear" w:color="auto" w:fill="FFFFFF" w:themeFill="background1"/>
              </w:rPr>
            </w:pPr>
            <w:r>
              <w:rPr>
                <w:rFonts w:hint="eastAsia" w:cs="宋体" w:asciiTheme="minorEastAsia" w:hAnsiTheme="minorEastAsia"/>
                <w:b/>
                <w:bCs/>
                <w:color w:val="000000"/>
                <w:kern w:val="0"/>
                <w:sz w:val="24"/>
                <w:szCs w:val="24"/>
                <w:shd w:val="clear" w:color="auto" w:fill="FFFFFF" w:themeFill="background1"/>
              </w:rPr>
              <w:t>序号</w:t>
            </w:r>
          </w:p>
        </w:tc>
        <w:tc>
          <w:tcPr>
            <w:tcW w:w="415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bCs/>
                <w:color w:val="000000"/>
                <w:kern w:val="0"/>
                <w:sz w:val="24"/>
                <w:szCs w:val="24"/>
                <w:shd w:val="clear" w:color="auto" w:fill="FFFFFF" w:themeFill="background1"/>
              </w:rPr>
            </w:pPr>
            <w:r>
              <w:rPr>
                <w:rFonts w:hint="eastAsia" w:cs="宋体" w:asciiTheme="minorEastAsia" w:hAnsiTheme="minorEastAsia"/>
                <w:b/>
                <w:bCs/>
                <w:color w:val="000000"/>
                <w:kern w:val="0"/>
                <w:sz w:val="24"/>
                <w:szCs w:val="24"/>
                <w:shd w:val="clear" w:color="auto" w:fill="FFFFFF" w:themeFill="background1"/>
              </w:rPr>
              <w:t>项目名称</w:t>
            </w:r>
          </w:p>
        </w:tc>
        <w:tc>
          <w:tcPr>
            <w:tcW w:w="282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bCs/>
                <w:color w:val="000000"/>
                <w:kern w:val="0"/>
                <w:sz w:val="24"/>
                <w:szCs w:val="24"/>
                <w:shd w:val="clear" w:color="auto" w:fill="FFFFFF" w:themeFill="background1"/>
              </w:rPr>
            </w:pPr>
            <w:r>
              <w:rPr>
                <w:rFonts w:hint="eastAsia" w:cs="宋体" w:asciiTheme="minorEastAsia" w:hAnsiTheme="minorEastAsia"/>
                <w:b/>
                <w:bCs/>
                <w:color w:val="000000"/>
                <w:kern w:val="0"/>
                <w:sz w:val="24"/>
                <w:szCs w:val="24"/>
                <w:shd w:val="clear" w:color="auto" w:fill="FFFFFF" w:themeFill="background1"/>
              </w:rPr>
              <w:t xml:space="preserve">项目承担单位 </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小区流浪猫健康管理探索与示范性推广研究</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上海市浦东新区畜牧水产技术推广中心</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2</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鲜食糯玉米—毛豆带状间作种植技术研究与示范</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上海市浦东新区农业技术推广中心</w:t>
            </w:r>
            <w:r>
              <w:rPr>
                <w:rFonts w:ascii="宋体" w:eastAsia="宋体" w:cs="宋体"/>
                <w:color w:val="000000"/>
                <w:kern w:val="0"/>
                <w:sz w:val="22"/>
              </w:rPr>
              <w:t xml:space="preserve"> </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3</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“稻-澳龙”生态种养模式关键技术研究与示范</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上海市浦东新区畜牧水产技术推广中心</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4</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优质口感番茄筛选和配套高效栽培技术研究</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上海市浦东新区农业技术推广中心</w:t>
            </w:r>
            <w:r>
              <w:rPr>
                <w:rFonts w:ascii="宋体" w:eastAsia="宋体" w:cs="宋体"/>
                <w:color w:val="000000"/>
                <w:kern w:val="0"/>
                <w:sz w:val="22"/>
              </w:rPr>
              <w:t xml:space="preserve"> </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5</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秸秆废弃物高效绿色微生物发酵菌肥关键技术研究与应用</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上海海洋大学</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6</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浦东新区犬钩端螺旋体抗体横断面调查及风险因素评估</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上海市浦东新区畜牧水产技术推广中心</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7</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优质米的绿色生产技术研究及应用</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上海市浦东新区农业技术推广中心</w:t>
            </w:r>
            <w:r>
              <w:rPr>
                <w:rFonts w:ascii="宋体" w:eastAsia="宋体" w:cs="宋体"/>
                <w:color w:val="000000"/>
                <w:kern w:val="0"/>
                <w:sz w:val="22"/>
              </w:rPr>
              <w:t xml:space="preserve"> </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8</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浦东特色农产品（8424西瓜）天气指数保险保障研究</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浦东新区气象局</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9</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双源热泵PV/T-相变储能一体化蔬菜温室的设计应用</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上海第二工业大学</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10</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作物营养云定制平台的技术研究与应用</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上海市浦东新区农业技术推广中心</w:t>
            </w:r>
            <w:r>
              <w:rPr>
                <w:rFonts w:ascii="宋体" w:eastAsia="宋体" w:cs="宋体"/>
                <w:color w:val="000000"/>
                <w:kern w:val="0"/>
                <w:sz w:val="22"/>
              </w:rPr>
              <w:t xml:space="preserve"> </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11</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利用食诱剂等新型绿色防控技术防治稻纵卷叶螟研究</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上海市浦东新区农业技术推广中心</w:t>
            </w:r>
            <w:r>
              <w:rPr>
                <w:rFonts w:ascii="宋体" w:eastAsia="宋体" w:cs="宋体"/>
                <w:color w:val="000000"/>
                <w:kern w:val="0"/>
                <w:sz w:val="22"/>
              </w:rPr>
              <w:t xml:space="preserve"> </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12</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设施土壤酸化修复技术的研究及应用</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上海市浦东新区农业技术推广中心</w:t>
            </w:r>
            <w:r>
              <w:rPr>
                <w:rFonts w:ascii="宋体" w:eastAsia="宋体" w:cs="宋体"/>
                <w:color w:val="000000"/>
                <w:kern w:val="0"/>
                <w:sz w:val="22"/>
              </w:rPr>
              <w:t xml:space="preserve"> </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13</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真姬菇工厂化菇房栽培数字孪生关键技术研究及应用</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上海第二工业大学</w:t>
            </w:r>
          </w:p>
        </w:tc>
      </w:tr>
      <w:tr>
        <w:tblPrEx>
          <w:tblCellMar>
            <w:top w:w="0" w:type="dxa"/>
            <w:left w:w="108" w:type="dxa"/>
            <w:bottom w:w="0" w:type="dxa"/>
            <w:right w:w="108" w:type="dxa"/>
          </w:tblCellMar>
        </w:tblPrEx>
        <w:trPr>
          <w:trHeight w:val="8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14</w:t>
            </w:r>
          </w:p>
        </w:tc>
        <w:tc>
          <w:tcPr>
            <w:tcW w:w="4157" w:type="dxa"/>
            <w:tcBorders>
              <w:top w:val="single" w:color="auto" w:sz="4" w:space="0"/>
              <w:left w:val="nil"/>
              <w:bottom w:val="single" w:color="auto" w:sz="4" w:space="0"/>
              <w:right w:val="single" w:color="auto" w:sz="4" w:space="0"/>
            </w:tcBorders>
            <w:vAlign w:val="center"/>
          </w:tcPr>
          <w:p>
            <w:pPr>
              <w:rPr>
                <w:rFonts w:ascii="宋体" w:hAnsi="宋体" w:eastAsia="宋体" w:cs="宋体"/>
                <w:sz w:val="22"/>
              </w:rPr>
            </w:pPr>
            <w:r>
              <w:rPr>
                <w:rFonts w:hint="eastAsia"/>
                <w:sz w:val="22"/>
              </w:rPr>
              <w:t>废旧锂电池负极与铁鳞定向转化技术研究</w:t>
            </w:r>
          </w:p>
        </w:tc>
        <w:tc>
          <w:tcPr>
            <w:tcW w:w="282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上海第二工业大学</w:t>
            </w:r>
          </w:p>
        </w:tc>
      </w:tr>
      <w:tr>
        <w:tblPrEx>
          <w:tblCellMar>
            <w:top w:w="0" w:type="dxa"/>
            <w:left w:w="108" w:type="dxa"/>
            <w:bottom w:w="0" w:type="dxa"/>
            <w:right w:w="108" w:type="dxa"/>
          </w:tblCellMar>
        </w:tblPrEx>
        <w:trPr>
          <w:trHeight w:val="8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15</w:t>
            </w:r>
          </w:p>
        </w:tc>
        <w:tc>
          <w:tcPr>
            <w:tcW w:w="4157" w:type="dxa"/>
            <w:tcBorders>
              <w:top w:val="single" w:color="auto" w:sz="4" w:space="0"/>
              <w:left w:val="nil"/>
              <w:bottom w:val="single" w:color="auto" w:sz="4" w:space="0"/>
              <w:right w:val="single" w:color="auto" w:sz="4" w:space="0"/>
            </w:tcBorders>
            <w:vAlign w:val="center"/>
          </w:tcPr>
          <w:p>
            <w:pPr>
              <w:rPr>
                <w:rFonts w:ascii="宋体" w:hAnsi="宋体" w:eastAsia="宋体" w:cs="宋体"/>
                <w:sz w:val="22"/>
              </w:rPr>
            </w:pPr>
            <w:r>
              <w:rPr>
                <w:rFonts w:hint="eastAsia"/>
                <w:sz w:val="22"/>
              </w:rPr>
              <w:t>基于机器视觉的建筑废弃混凝土再生骨料在线质量检测系统研究</w:t>
            </w:r>
          </w:p>
        </w:tc>
        <w:tc>
          <w:tcPr>
            <w:tcW w:w="282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中国科学院上海高等研究院</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16</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废锂离子动力电池回收再利用系统减污降碳协同效益评估与增效优化研究</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上海第二工业大学</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17</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水体中多氟及全氟化合物的灵敏检测及高效处理技术</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上海第二工业大学</w:t>
            </w:r>
          </w:p>
        </w:tc>
      </w:tr>
      <w:tr>
        <w:tblPrEx>
          <w:tblCellMar>
            <w:top w:w="0" w:type="dxa"/>
            <w:left w:w="108" w:type="dxa"/>
            <w:bottom w:w="0" w:type="dxa"/>
            <w:right w:w="108" w:type="dxa"/>
          </w:tblCellMar>
        </w:tblPrEx>
        <w:trPr>
          <w:trHeight w:val="859"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18</w:t>
            </w:r>
          </w:p>
        </w:tc>
        <w:tc>
          <w:tcPr>
            <w:tcW w:w="4157"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sz w:val="22"/>
              </w:rPr>
              <w:t>基于多源数据的输电线路深基坑环境态势感知系统的研究</w:t>
            </w:r>
          </w:p>
        </w:tc>
        <w:tc>
          <w:tcPr>
            <w:tcW w:w="2823" w:type="dxa"/>
            <w:tcBorders>
              <w:top w:val="nil"/>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中国科学院上海高等研究院</w:t>
            </w:r>
          </w:p>
        </w:tc>
      </w:tr>
      <w:tr>
        <w:tblPrEx>
          <w:tblCellMar>
            <w:top w:w="0" w:type="dxa"/>
            <w:left w:w="108" w:type="dxa"/>
            <w:bottom w:w="0" w:type="dxa"/>
            <w:right w:w="108" w:type="dxa"/>
          </w:tblCellMar>
        </w:tblPrEx>
        <w:trPr>
          <w:trHeight w:val="8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19</w:t>
            </w:r>
          </w:p>
        </w:tc>
        <w:tc>
          <w:tcPr>
            <w:tcW w:w="4157" w:type="dxa"/>
            <w:tcBorders>
              <w:top w:val="single" w:color="auto" w:sz="4" w:space="0"/>
              <w:left w:val="nil"/>
              <w:bottom w:val="single" w:color="auto" w:sz="4" w:space="0"/>
              <w:right w:val="single" w:color="auto" w:sz="4" w:space="0"/>
            </w:tcBorders>
            <w:vAlign w:val="center"/>
          </w:tcPr>
          <w:p>
            <w:pPr>
              <w:rPr>
                <w:rFonts w:ascii="宋体" w:hAnsi="宋体" w:eastAsia="宋体" w:cs="宋体"/>
                <w:sz w:val="22"/>
              </w:rPr>
            </w:pPr>
            <w:r>
              <w:rPr>
                <w:rFonts w:hint="eastAsia"/>
                <w:sz w:val="22"/>
              </w:rPr>
              <w:t>张江科学城含氟温室气体浓度及来源解析研究</w:t>
            </w:r>
          </w:p>
        </w:tc>
        <w:tc>
          <w:tcPr>
            <w:tcW w:w="282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中国科学院上海高等研究院</w:t>
            </w:r>
          </w:p>
        </w:tc>
      </w:tr>
      <w:tr>
        <w:tblPrEx>
          <w:tblCellMar>
            <w:top w:w="0" w:type="dxa"/>
            <w:left w:w="108" w:type="dxa"/>
            <w:bottom w:w="0" w:type="dxa"/>
            <w:right w:w="108" w:type="dxa"/>
          </w:tblCellMar>
        </w:tblPrEx>
        <w:trPr>
          <w:trHeight w:val="8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20</w:t>
            </w:r>
          </w:p>
        </w:tc>
        <w:tc>
          <w:tcPr>
            <w:tcW w:w="4157" w:type="dxa"/>
            <w:tcBorders>
              <w:top w:val="single" w:color="auto" w:sz="4" w:space="0"/>
              <w:left w:val="nil"/>
              <w:bottom w:val="single" w:color="auto" w:sz="4" w:space="0"/>
              <w:right w:val="single" w:color="auto" w:sz="4" w:space="0"/>
            </w:tcBorders>
            <w:vAlign w:val="center"/>
          </w:tcPr>
          <w:p>
            <w:pPr>
              <w:rPr>
                <w:rFonts w:ascii="宋体" w:hAnsi="宋体" w:eastAsia="宋体" w:cs="宋体"/>
                <w:sz w:val="22"/>
              </w:rPr>
            </w:pPr>
            <w:r>
              <w:rPr>
                <w:rFonts w:hint="eastAsia"/>
                <w:sz w:val="22"/>
              </w:rPr>
              <w:t>基于热解-生物淋滤定向调控的污泥无害化基础研究</w:t>
            </w:r>
          </w:p>
        </w:tc>
        <w:tc>
          <w:tcPr>
            <w:tcW w:w="282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上海第二工业大学</w:t>
            </w:r>
          </w:p>
        </w:tc>
      </w:tr>
      <w:tr>
        <w:tblPrEx>
          <w:tblCellMar>
            <w:top w:w="0" w:type="dxa"/>
            <w:left w:w="108" w:type="dxa"/>
            <w:bottom w:w="0" w:type="dxa"/>
            <w:right w:w="108" w:type="dxa"/>
          </w:tblCellMar>
        </w:tblPrEx>
        <w:trPr>
          <w:trHeight w:val="8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21</w:t>
            </w:r>
          </w:p>
        </w:tc>
        <w:tc>
          <w:tcPr>
            <w:tcW w:w="4157" w:type="dxa"/>
            <w:tcBorders>
              <w:top w:val="single" w:color="auto" w:sz="4" w:space="0"/>
              <w:left w:val="nil"/>
              <w:bottom w:val="single" w:color="auto" w:sz="4" w:space="0"/>
              <w:right w:val="single" w:color="auto" w:sz="4" w:space="0"/>
            </w:tcBorders>
            <w:vAlign w:val="center"/>
          </w:tcPr>
          <w:p>
            <w:pPr>
              <w:rPr>
                <w:rFonts w:ascii="宋体" w:hAnsi="宋体" w:eastAsia="宋体" w:cs="宋体"/>
                <w:sz w:val="22"/>
              </w:rPr>
            </w:pPr>
            <w:r>
              <w:rPr>
                <w:rFonts w:hint="eastAsia"/>
                <w:sz w:val="22"/>
              </w:rPr>
              <w:t>浦东新区环境介质中新污染物得克隆分析方法的开发及应用</w:t>
            </w:r>
          </w:p>
        </w:tc>
        <w:tc>
          <w:tcPr>
            <w:tcW w:w="282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上海市检测中心</w:t>
            </w:r>
          </w:p>
        </w:tc>
      </w:tr>
      <w:tr>
        <w:tblPrEx>
          <w:tblCellMar>
            <w:top w:w="0" w:type="dxa"/>
            <w:left w:w="108" w:type="dxa"/>
            <w:bottom w:w="0" w:type="dxa"/>
            <w:right w:w="108" w:type="dxa"/>
          </w:tblCellMar>
        </w:tblPrEx>
        <w:trPr>
          <w:trHeight w:val="8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2"/>
                <w:shd w:val="clear" w:color="auto" w:fill="FFFFFF" w:themeFill="background1"/>
              </w:rPr>
            </w:pPr>
            <w:r>
              <w:rPr>
                <w:rFonts w:hint="eastAsia" w:cs="宋体" w:asciiTheme="minorEastAsia" w:hAnsiTheme="minorEastAsia"/>
                <w:color w:val="000000"/>
                <w:kern w:val="0"/>
                <w:sz w:val="22"/>
                <w:shd w:val="clear" w:color="auto" w:fill="FFFFFF" w:themeFill="background1"/>
              </w:rPr>
              <w:t>22</w:t>
            </w:r>
          </w:p>
        </w:tc>
        <w:tc>
          <w:tcPr>
            <w:tcW w:w="4157" w:type="dxa"/>
            <w:tcBorders>
              <w:top w:val="single" w:color="auto" w:sz="4" w:space="0"/>
              <w:left w:val="nil"/>
              <w:bottom w:val="single" w:color="auto" w:sz="4" w:space="0"/>
              <w:right w:val="single" w:color="auto" w:sz="4" w:space="0"/>
            </w:tcBorders>
            <w:vAlign w:val="center"/>
          </w:tcPr>
          <w:p>
            <w:pPr>
              <w:rPr>
                <w:rFonts w:ascii="宋体" w:hAnsi="宋体" w:eastAsia="宋体" w:cs="宋体"/>
                <w:sz w:val="22"/>
              </w:rPr>
            </w:pPr>
            <w:r>
              <w:rPr>
                <w:rFonts w:hint="eastAsia"/>
                <w:sz w:val="22"/>
              </w:rPr>
              <w:t>三维电极电动修复多环芳烃污染土壤的研究</w:t>
            </w:r>
          </w:p>
        </w:tc>
        <w:tc>
          <w:tcPr>
            <w:tcW w:w="2823"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上海第二工业大学</w:t>
            </w:r>
          </w:p>
        </w:tc>
      </w:tr>
    </w:tbl>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p>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r>
        <w:rPr>
          <w:rFonts w:hint="eastAsia" w:ascii="仿宋_GB2312" w:hAnsi="华文中宋" w:eastAsia="仿宋_GB2312" w:cs="宋体"/>
          <w:color w:val="000000" w:themeColor="text1"/>
          <w:kern w:val="0"/>
          <w:sz w:val="30"/>
          <w:szCs w:val="30"/>
          <w:shd w:val="clear" w:color="auto" w:fill="FFFFFF" w:themeFill="background1"/>
        </w:rPr>
        <w:t xml:space="preserve">附件2  </w:t>
      </w:r>
      <w:r>
        <w:rPr>
          <w:rFonts w:hint="eastAsia" w:ascii="华文中宋" w:hAnsi="华文中宋" w:eastAsia="华文中宋" w:cs="宋体"/>
          <w:color w:val="000000" w:themeColor="text1"/>
          <w:kern w:val="0"/>
          <w:sz w:val="30"/>
          <w:szCs w:val="30"/>
          <w:shd w:val="clear" w:color="auto" w:fill="FFFFFF" w:themeFill="background1"/>
        </w:rPr>
        <w:t xml:space="preserve">  </w:t>
      </w:r>
    </w:p>
    <w:p>
      <w:pPr>
        <w:widowControl/>
        <w:shd w:val="clear" w:color="auto" w:fill="FFFFFF"/>
        <w:adjustRightInd w:val="0"/>
        <w:snapToGrid w:val="0"/>
        <w:ind w:firstLine="1200" w:firstLineChars="400"/>
        <w:rPr>
          <w:rFonts w:ascii="华文中宋" w:hAnsi="华文中宋" w:eastAsia="华文中宋" w:cs="宋体"/>
          <w:color w:val="000000" w:themeColor="text1"/>
          <w:kern w:val="0"/>
          <w:sz w:val="30"/>
          <w:szCs w:val="30"/>
          <w:shd w:val="clear" w:color="auto" w:fill="FFFFFF" w:themeFill="background1"/>
        </w:rPr>
      </w:pPr>
      <w:r>
        <w:rPr>
          <w:rFonts w:hint="eastAsia" w:ascii="华文中宋" w:hAnsi="华文中宋" w:eastAsia="华文中宋" w:cs="宋体"/>
          <w:color w:val="000000" w:themeColor="text1"/>
          <w:kern w:val="0"/>
          <w:sz w:val="30"/>
          <w:szCs w:val="30"/>
          <w:shd w:val="clear" w:color="auto" w:fill="FFFFFF" w:themeFill="background1"/>
        </w:rPr>
        <w:t xml:space="preserve">  2023年度浦东新区科技发展基金事业单位</w:t>
      </w:r>
    </w:p>
    <w:p>
      <w:pPr>
        <w:widowControl/>
        <w:shd w:val="clear" w:color="auto" w:fill="FFFFFF"/>
        <w:adjustRightInd w:val="0"/>
        <w:snapToGrid w:val="0"/>
        <w:ind w:firstLine="1500" w:firstLineChars="500"/>
        <w:rPr>
          <w:rFonts w:ascii="华文中宋" w:hAnsi="华文中宋" w:eastAsia="华文中宋" w:cs="宋体"/>
          <w:color w:val="000000" w:themeColor="text1"/>
          <w:kern w:val="0"/>
          <w:sz w:val="30"/>
          <w:szCs w:val="30"/>
          <w:shd w:val="clear" w:color="auto" w:fill="FFFFFF" w:themeFill="background1"/>
        </w:rPr>
      </w:pPr>
      <w:r>
        <w:rPr>
          <w:rFonts w:hint="eastAsia" w:ascii="华文中宋" w:hAnsi="华文中宋" w:eastAsia="华文中宋" w:cs="宋体"/>
          <w:color w:val="000000" w:themeColor="text1"/>
          <w:kern w:val="0"/>
          <w:sz w:val="30"/>
          <w:szCs w:val="30"/>
          <w:shd w:val="clear" w:color="auto" w:fill="FFFFFF" w:themeFill="background1"/>
        </w:rPr>
        <w:t>民生科研专项（医疗卫生）项目拟立项名单</w:t>
      </w:r>
    </w:p>
    <w:tbl>
      <w:tblPr>
        <w:tblStyle w:val="4"/>
        <w:tblW w:w="7830" w:type="dxa"/>
        <w:jc w:val="center"/>
        <w:tblLayout w:type="fixed"/>
        <w:tblCellMar>
          <w:top w:w="0" w:type="dxa"/>
          <w:left w:w="30" w:type="dxa"/>
          <w:bottom w:w="0" w:type="dxa"/>
          <w:right w:w="30" w:type="dxa"/>
        </w:tblCellMar>
      </w:tblPr>
      <w:tblGrid>
        <w:gridCol w:w="739"/>
        <w:gridCol w:w="3971"/>
        <w:gridCol w:w="3120"/>
      </w:tblGrid>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b/>
                <w:bCs/>
                <w:color w:val="000000"/>
                <w:kern w:val="0"/>
                <w:sz w:val="24"/>
                <w:szCs w:val="24"/>
                <w:shd w:val="clear" w:color="auto" w:fill="FFFFFF" w:themeFill="background1"/>
              </w:rPr>
            </w:pPr>
            <w:r>
              <w:rPr>
                <w:rFonts w:hint="eastAsia" w:ascii="宋体" w:eastAsia="宋体" w:cs="宋体"/>
                <w:b/>
                <w:bCs/>
                <w:color w:val="000000"/>
                <w:kern w:val="0"/>
                <w:sz w:val="24"/>
                <w:szCs w:val="24"/>
                <w:shd w:val="clear" w:color="auto" w:fill="FFFFFF" w:themeFill="background1"/>
              </w:rPr>
              <w:t>序号</w:t>
            </w:r>
          </w:p>
        </w:tc>
        <w:tc>
          <w:tcPr>
            <w:tcW w:w="39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b/>
                <w:bCs/>
                <w:color w:val="000000"/>
                <w:kern w:val="0"/>
                <w:sz w:val="24"/>
                <w:szCs w:val="24"/>
                <w:shd w:val="clear" w:color="auto" w:fill="FFFFFF" w:themeFill="background1"/>
              </w:rPr>
            </w:pPr>
            <w:r>
              <w:rPr>
                <w:rFonts w:hint="eastAsia" w:ascii="宋体" w:eastAsia="宋体" w:cs="宋体"/>
                <w:b/>
                <w:bCs/>
                <w:color w:val="000000"/>
                <w:kern w:val="0"/>
                <w:sz w:val="24"/>
                <w:szCs w:val="24"/>
                <w:shd w:val="clear" w:color="auto" w:fill="FFFFFF" w:themeFill="background1"/>
              </w:rPr>
              <w:t>项目名称</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b/>
                <w:bCs/>
                <w:color w:val="000000"/>
                <w:kern w:val="0"/>
                <w:sz w:val="24"/>
                <w:szCs w:val="24"/>
                <w:shd w:val="clear" w:color="auto" w:fill="FFFFFF" w:themeFill="background1"/>
              </w:rPr>
            </w:pPr>
            <w:r>
              <w:rPr>
                <w:rFonts w:hint="eastAsia" w:ascii="宋体" w:eastAsia="宋体" w:cs="宋体"/>
                <w:b/>
                <w:bCs/>
                <w:color w:val="000000"/>
                <w:kern w:val="0"/>
                <w:sz w:val="24"/>
                <w:szCs w:val="24"/>
                <w:shd w:val="clear" w:color="auto" w:fill="FFFFFF" w:themeFill="background1"/>
              </w:rPr>
              <w:t>项目承担单位</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氟尿嘧啶与甲氨蝶呤偶联物的合成及注射给药系统的研究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上海市第七人民医院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LAMA5蛋白在乳腺癌发生发展中的临床应用价值研究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上海市第七人民医院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基于代谢组学探讨针刺对糖尿病周围神经病变小鼠的神经保护作用</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上海市第七人民医院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FGF6表达异常致巨噬细胞铁过载和功能紊乱在病毒感染促肺纤维化中的作用和机制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m6A相关LncRNA MIR924HG促进子宫内膜癌进展的作用及分子机制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6</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接头蛋白DAP12通过调控巨噬细胞极化影响结直肠癌发生发展的作用及机制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7</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急性缺血性脑卒中AMPK/MFN2/Pak2调控MAMs介导的线粒体自噬作用机制的研究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8</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CRIF1调控线粒体自噬在乳腺癌进展中的机制研究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9</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巨噬细胞仿生纳米颗粒调控“线粒体代谢重编程-NLRP3炎症小体Cross-Talk"延缓骨关节炎的作用及机制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10</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青蒿素衍生物SM934通过抑制T-bet+B细胞的分化治疗自身免疫甲状腺疾病的研究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上海市浦东新区周浦医院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11</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淫羊藿苷通过抑制破骨细胞影响周围酸碱微环境而减轻骨质疏松性疼痛的机制研究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上海市浦东新区周浦医院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12</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俯卧位通气改善氧合效果的肺部力学建模与分析</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上海市浦东新区周浦医院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13</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 xml:space="preserve">滤泡调节性T细胞活化在改善心肌缺血再灌注损伤的作用机制研究  </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上海市浦东新区周浦医院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14</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长链非编码RNA MIAT在肝细胞癌发生发展中的作用和机制研究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15</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PVRIG通过SHP-1/2信号途径介导NK细胞IFN-gamma分泌障碍促进NSCLC免疫逃逸的作用机制研究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16</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HIIT通过提高脑乳酸水平重建AD小鼠海马血管的机制研究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17</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基于多元标志物构建房颤患者利伐沙班精准用药新模式</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上海市浦东新区浦南医院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18</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CEACAM7调控GCNT3促进肺腺癌侵袭转移的机制研究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上海市浦东新区浦南医院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19</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高频重复经颅磁刺激对MK801诱导的精神分裂症小鼠模型认知损害的影响及机制研究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上海市浦东新区精神卫生中心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20</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精准重复经颅磁刺激治疗对抑郁障碍的疗效及认知功能的影响</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上海市浦东新区精神卫生中心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21</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青少年拒学多生态系统干预模式的研究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上海市浦东新区精神卫生中心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22</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 xml:space="preserve">情志疏导联合中医五禽戏改善新冠病毒感染后焦虑等不适症状的效果评价 </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上海市浦东新区光明中医医院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23</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扁瘊颗粒结合耳背放血治疗扁瘊及其发病机制的研究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上海市浦东新区光明中医医院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24</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 xml:space="preserve">TMEM106B/RhANP调控轴通过隔下迷走神经介导的肠道微生物-脑轴影响认知功能障碍的机制研究 </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上海市浦东新区光明中医医院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25</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药敏筛选芯片用于转移性结直肠癌个体化治疗的可行性研究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上海市浦东新区公利医院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26</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自噬基因ATG10经m6A修饰诱导细胞铜死亡（Cuproptosis）抑制肾嫌色细胞癌的分子机制研究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上海市浦东新区公利医院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27</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基于人工智能和大数据分析技术的肿瘤患者围术期精准输血评价体系的构建</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上海市浦东新区公利医院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28</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脂代谢酶CPT1B在去势抵抗性前列腺癌发生耐药中的潜在靶点机制研究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上海市浦东新区公利医院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29</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苦味受体TAS2R14诱导甲状腺乳头状癌细胞铁死亡的机理研究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上海市浦东新区公利医院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30</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脑卒中急性期小胶质细胞M1极化诱发卒中后抑郁的分子机制及干预研究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上海市浦东新区公利医院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31</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基于虚挂线法应用于括约肌间脓肿治疗对肛管直肠测压数据的影响</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上海市浦东新区中医医院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32</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基于TXNIP/NLRP3信号通路探讨补肾活血方对糖尿病肾病大鼠足细胞的影响</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上海市浦东新区中医医院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33</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糖尿病足早期预防中药足浴联合红外线治疗的研究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上海市浦东新区老年医院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34</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 xml:space="preserve">先天性心脏病儿童13价肺炎球菌多糖结合疫苗免疫效果和安全性研究        </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上海市浦东新区疾病预防控制中心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35</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基于ASyNaL纳米抗体技术合成双靶向FcRn和FcγRs的Fc片段对IgG依赖性自身免疫病的抑制作用研究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上海市东方医院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36</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HDAC抑制剂西达本胺改善急性髓系白血病中阿糖胞苷耐药的机制研究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上海市东方医院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37</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濒死细胞通过LPA/Hippo信号轴调控胰腺癌放化疗后再增殖的机制研究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上海市东方医院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38</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乙酰化KLF4/p21/p300正反馈环路调控结直肠癌中CES-2转录表达</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上海市东方医院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39</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Zbtb7b调控Treg细胞分化促进脓毒症致急性肺损伤的作用及机制研究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上海市东方医院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40</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ACE遗传多态性通过PI3K/AKT/mTOR通路调控髓核退变的分子机制研究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上海市东方医院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41</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胸部肿瘤质子碳离子放疗诱导放射性肺损伤的机制及效应预测的动物模型及临床研究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上海市质子重离子临床技术研发中心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42</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基于单细胞测序研究寡转移性前列腺癌质子重离子治疗的免疫调控及异质性响应机制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上海市质子重离子临床技术研发中心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43</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外周血循环肿瘤细胞的单细胞测序探讨大肿块局部晚期非小细胞肺癌重离子放疗后不同乏氧状态疗效差异机制的初步研究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上海市质子重离子临床技术研发中心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44</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18F-FMISO PET/CT影像组学在肺癌乏氧在体可视化及碳离子放疗疗效预测研究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上海市质子重离子临床技术研发中心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45</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嘌呤核苷酸合成酶PPAT的乙酰化修饰在儿童ALL发生发展中的作用机制研究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上海交通大学医学院附属上海儿童医学中心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46</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Treg在儿童脓毒症中的临床特征及其调控作用研究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上海交通大学医学院附属上海儿童医学中心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47</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维生素D水平对儿童大脑结构和功能发育的影响研究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上海交通大学医学院附属上海儿童医学中心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48</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 xml:space="preserve">血、尿胆汁酸谱在儿童青少年肥胖合并糖尿病前期/2型糖尿病评估的应用研究 </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上海交通大学医学院附属上海儿童医学中心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49</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预防儿童难治性肺炎支原体肺炎的智能诊疗模型研究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上海交通大学医学院附属上海儿童医学中心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50</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基于多模态深度学习的儿童重症肺炎AI预测系统开发</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上海交通大学医学院附属上海儿童医学中心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51</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通关藤调控巨噬细胞介导乳腺癌细胞铁死亡的作用及机制研究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上海市第六人民医院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52</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基于超声影像组学及基因突变检测的影像-基因组学技术分析甲状腺乳头状癌复发转移风险的临床研究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上海市第六人民医院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53</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构建影像组学-脂质代谢多参数模型评估年轻子宫内膜癌患者保育疗效的研究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上海市第六人民医院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54</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网袋成形术联合I131治疗颈椎转移瘤引发颈椎管狭窄有效性评估的动物实验和临床应用研究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上海市第六人民医院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55</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海派儿科推拿“扶正通调法”治疗儿童功能性便秘的疗效观察及对肛肠动力学的影响</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上海市第六人民医院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56</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氨苄西林孕期暴露母体药动学模型建立及对胎儿主要出生结局影响研究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上海市第一妇婴保健院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57</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琥珀酸脱氢酶B低表达造成蜕膜化障碍引起复发性流产的分子机制研究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上海市第一妇婴保健院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58</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两种微刺激方案在IVF患者中的自身对照研究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上海市第一妇婴保健院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59</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早产儿代谢性骨病超早期预测及超声导波技术为核心的联合诊断模式研究</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2"/>
              </w:rPr>
            </w:pPr>
            <w:r>
              <w:rPr>
                <w:rFonts w:hint="eastAsia" w:ascii="宋体" w:eastAsia="宋体" w:cs="宋体"/>
                <w:color w:val="000000"/>
                <w:kern w:val="0"/>
                <w:sz w:val="22"/>
              </w:rPr>
              <w:t>上海市第一妇婴保健院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YjU5M2Q1MDk4NWJhNzhjNWYyZjg1NWMxZGFlMzcifQ=="/>
  </w:docVars>
  <w:rsids>
    <w:rsidRoot w:val="004E3E02"/>
    <w:rsid w:val="000C40E4"/>
    <w:rsid w:val="002A5062"/>
    <w:rsid w:val="0033359D"/>
    <w:rsid w:val="003557B8"/>
    <w:rsid w:val="00435C70"/>
    <w:rsid w:val="004E3E02"/>
    <w:rsid w:val="005145AF"/>
    <w:rsid w:val="00766ED0"/>
    <w:rsid w:val="008D0C79"/>
    <w:rsid w:val="009E7E37"/>
    <w:rsid w:val="00A442EB"/>
    <w:rsid w:val="00A93745"/>
    <w:rsid w:val="00BC0E4F"/>
    <w:rsid w:val="00BE6A12"/>
    <w:rsid w:val="00C51E1B"/>
    <w:rsid w:val="00DD7DC6"/>
    <w:rsid w:val="00E4625F"/>
    <w:rsid w:val="00E85817"/>
    <w:rsid w:val="00ED0FF0"/>
    <w:rsid w:val="00EE5C38"/>
    <w:rsid w:val="6B72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674</Words>
  <Characters>3846</Characters>
  <Lines>32</Lines>
  <Paragraphs>9</Paragraphs>
  <TotalTime>235</TotalTime>
  <ScaleCrop>false</ScaleCrop>
  <LinksUpToDate>false</LinksUpToDate>
  <CharactersWithSpaces>4511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2022-09-19T06:48:00Z</dcterms:created>
  <dc:creator>admin</dc:creator>
  <cp:lastModifiedBy>C.c</cp:lastModifiedBy>
  <cp:lastPrinted>2023-08-08T07:23:00Z</cp:lastPrinted>
  <dcterms:modified xsi:type="dcterms:W3CDTF">2023-08-08T08:33:01Z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298FF4D9010A41439FBB9F6CC09E5082_13</vt:lpwstr>
  </property>
</Properties>
</file>