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napToGrid w:val="0"/>
        <w:spacing w:line="58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2022年浦东新区数字化转型应用优秀解决方案名单</w:t>
      </w:r>
    </w:p>
    <w:p>
      <w:pPr>
        <w:pStyle w:val="4"/>
        <w:jc w:val="center"/>
        <w:rPr>
          <w:rFonts w:ascii="黑体" w:hAnsi="黑体" w:eastAsia="黑体" w:cstheme="minorBidi"/>
          <w:b/>
          <w:sz w:val="36"/>
          <w:szCs w:val="36"/>
        </w:rPr>
      </w:pPr>
      <w:r>
        <w:rPr>
          <w:rFonts w:hint="eastAsia" w:ascii="黑体" w:hAnsi="黑体" w:eastAsia="黑体" w:cstheme="minorBidi"/>
          <w:b/>
          <w:sz w:val="36"/>
          <w:szCs w:val="36"/>
        </w:rPr>
        <w:t>（数字治理/数字服务）</w:t>
      </w:r>
    </w:p>
    <w:tbl>
      <w:tblPr>
        <w:tblStyle w:val="5"/>
        <w:tblpPr w:leftFromText="180" w:rightFromText="180" w:vertAnchor="text" w:horzAnchor="page" w:tblpX="1608" w:tblpY="613"/>
        <w:tblOverlap w:val="never"/>
        <w:tblW w:w="538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637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方案名称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1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上海悦程信息技术有限公司</w:t>
            </w: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智能数据场景治理分析与敏捷开发平台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2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上海观安信息技术股份有限公司</w:t>
            </w: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治理数字化转型——数据安全治理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3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上海闪马智能科技有限公司</w:t>
            </w: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智慧交通一体化感控平台创新应用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4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上海荟诚信息系统有限公司</w:t>
            </w: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政务云网安一体安全解决方案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5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上海金桥信息股份有限公司</w:t>
            </w:r>
          </w:p>
        </w:tc>
        <w:tc>
          <w:tcPr>
            <w:tcW w:w="2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基于云平台的智慧执行解决方案</w:t>
            </w:r>
          </w:p>
        </w:tc>
      </w:tr>
    </w:tbl>
    <w:p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jU5M2Q1MDk4NWJhNzhjNWYyZjg1NWMxZGFlMzcifQ=="/>
  </w:docVars>
  <w:rsids>
    <w:rsidRoot w:val="589B5A36"/>
    <w:rsid w:val="24791B67"/>
    <w:rsid w:val="589B5A36"/>
    <w:rsid w:val="762B3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2023-07-26T07:05:00Z</dcterms:created>
  <dc:creator>C.c</dc:creator>
  <cp:lastModifiedBy>C.c</cp:lastModifiedBy>
  <dcterms:modified xsi:type="dcterms:W3CDTF">2023-07-26T07:07:44Z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4A12801E7E734C73A576D0EDF13D5C76_13</vt:lpwstr>
  </property>
</Properties>
</file>