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8B" w:rsidRPr="0068096E" w:rsidRDefault="0068096E" w:rsidP="0068096E">
      <w:pPr>
        <w:jc w:val="center"/>
        <w:rPr>
          <w:b/>
          <w:sz w:val="32"/>
          <w:szCs w:val="32"/>
        </w:rPr>
      </w:pPr>
      <w:r w:rsidRPr="0068096E">
        <w:rPr>
          <w:rFonts w:hint="eastAsia"/>
          <w:b/>
          <w:sz w:val="32"/>
          <w:szCs w:val="32"/>
        </w:rPr>
        <w:t>关于</w:t>
      </w:r>
      <w:r w:rsidR="00491441">
        <w:rPr>
          <w:rFonts w:hint="eastAsia"/>
          <w:b/>
          <w:sz w:val="32"/>
          <w:szCs w:val="32"/>
        </w:rPr>
        <w:t>公布</w:t>
      </w:r>
      <w:r w:rsidRPr="0068096E">
        <w:rPr>
          <w:rFonts w:hint="eastAsia"/>
          <w:b/>
          <w:sz w:val="32"/>
          <w:szCs w:val="32"/>
        </w:rPr>
        <w:t>2024</w:t>
      </w:r>
      <w:r w:rsidRPr="0068096E">
        <w:rPr>
          <w:rFonts w:hint="eastAsia"/>
          <w:b/>
          <w:sz w:val="32"/>
          <w:szCs w:val="32"/>
        </w:rPr>
        <w:t>年浦东新区环境污染责任保险首批应投保单位目录和最低责任限额计算</w:t>
      </w:r>
      <w:r>
        <w:rPr>
          <w:rFonts w:hint="eastAsia"/>
          <w:b/>
          <w:sz w:val="32"/>
          <w:szCs w:val="32"/>
        </w:rPr>
        <w:t>方法</w:t>
      </w:r>
      <w:r w:rsidRPr="0068096E">
        <w:rPr>
          <w:rFonts w:hint="eastAsia"/>
          <w:b/>
          <w:sz w:val="32"/>
          <w:szCs w:val="32"/>
        </w:rPr>
        <w:t>的</w:t>
      </w:r>
      <w:r w:rsidR="00491441">
        <w:rPr>
          <w:rFonts w:hint="eastAsia"/>
          <w:b/>
          <w:sz w:val="32"/>
          <w:szCs w:val="32"/>
        </w:rPr>
        <w:t>通知</w:t>
      </w:r>
    </w:p>
    <w:p w:rsidR="0068096E" w:rsidRPr="0068096E" w:rsidRDefault="0068096E">
      <w:pPr>
        <w:rPr>
          <w:sz w:val="32"/>
          <w:szCs w:val="32"/>
        </w:rPr>
      </w:pPr>
    </w:p>
    <w:p w:rsidR="0068096E" w:rsidRPr="0068096E" w:rsidRDefault="0068096E" w:rsidP="0068096E">
      <w:pPr>
        <w:rPr>
          <w:rFonts w:ascii="仿宋_GB2312" w:eastAsia="仿宋_GB2312" w:hAnsi="仿宋_GB2312" w:cs="仿宋_GB2312"/>
          <w:sz w:val="32"/>
          <w:szCs w:val="32"/>
        </w:rPr>
      </w:pPr>
      <w:r w:rsidRPr="0068096E">
        <w:rPr>
          <w:rFonts w:ascii="仿宋_GB2312" w:eastAsia="仿宋_GB2312" w:hAnsi="仿宋_GB2312" w:cs="仿宋_GB2312" w:hint="eastAsia"/>
          <w:sz w:val="32"/>
          <w:szCs w:val="32"/>
        </w:rPr>
        <w:t>各相关单位：</w:t>
      </w:r>
    </w:p>
    <w:p w:rsidR="00491441" w:rsidRDefault="0068096E" w:rsidP="0068096E">
      <w:pPr>
        <w:ind w:firstLineChars="200" w:firstLine="640"/>
        <w:rPr>
          <w:rFonts w:ascii="仿宋_GB2312" w:eastAsia="仿宋_GB2312" w:hAnsi="仿宋_GB2312" w:cs="仿宋_GB2312"/>
          <w:sz w:val="32"/>
          <w:szCs w:val="32"/>
        </w:rPr>
      </w:pPr>
      <w:r w:rsidRPr="0068096E">
        <w:rPr>
          <w:rFonts w:ascii="仿宋_GB2312" w:eastAsia="仿宋_GB2312" w:hAnsi="仿宋_GB2312" w:cs="仿宋_GB2312" w:hint="eastAsia"/>
          <w:sz w:val="32"/>
          <w:szCs w:val="32"/>
        </w:rPr>
        <w:t>根</w:t>
      </w:r>
      <w:r w:rsidR="009C7717">
        <w:rPr>
          <w:rFonts w:ascii="仿宋_GB2312" w:eastAsia="仿宋_GB2312" w:hAnsi="仿宋_GB2312" w:cs="仿宋_GB2312" w:hint="eastAsia"/>
          <w:sz w:val="32"/>
          <w:szCs w:val="32"/>
        </w:rPr>
        <w:t>据</w:t>
      </w:r>
      <w:r w:rsidRPr="0068096E">
        <w:rPr>
          <w:rFonts w:ascii="仿宋_GB2312" w:eastAsia="仿宋_GB2312" w:hAnsi="仿宋_GB2312" w:cs="仿宋_GB2312" w:hint="eastAsia"/>
          <w:sz w:val="32"/>
          <w:szCs w:val="32"/>
        </w:rPr>
        <w:t>《上海市浦东新区绿色金融发展若干规定》和《浦东新区环境污染责任保险管理暂行办法》</w:t>
      </w:r>
      <w:r w:rsidR="00491441">
        <w:rPr>
          <w:rFonts w:ascii="仿宋_GB2312" w:eastAsia="仿宋_GB2312" w:hAnsi="仿宋_GB2312" w:cs="仿宋_GB2312" w:hint="eastAsia"/>
          <w:sz w:val="32"/>
          <w:szCs w:val="32"/>
        </w:rPr>
        <w:t>（以下简称“暂行办法”）</w:t>
      </w:r>
      <w:r w:rsidRPr="0068096E">
        <w:rPr>
          <w:rFonts w:ascii="仿宋_GB2312" w:eastAsia="仿宋_GB2312" w:hAnsi="仿宋_GB2312" w:cs="仿宋_GB2312" w:hint="eastAsia"/>
          <w:sz w:val="32"/>
          <w:szCs w:val="32"/>
        </w:rPr>
        <w:t>，</w:t>
      </w:r>
      <w:r w:rsidR="00491441" w:rsidRPr="00491441">
        <w:rPr>
          <w:rFonts w:ascii="仿宋_GB2312" w:eastAsia="仿宋_GB2312" w:hAnsi="仿宋_GB2312" w:cs="仿宋_GB2312" w:hint="eastAsia"/>
          <w:sz w:val="32"/>
          <w:szCs w:val="32"/>
        </w:rPr>
        <w:t>经初步筛选公示、复核等程序，形成了</w:t>
      </w:r>
      <w:r w:rsidR="00491441">
        <w:rPr>
          <w:rFonts w:ascii="仿宋_GB2312" w:eastAsia="仿宋_GB2312" w:hAnsi="仿宋_GB2312" w:cs="仿宋_GB2312" w:hint="eastAsia"/>
          <w:sz w:val="32"/>
          <w:szCs w:val="32"/>
        </w:rPr>
        <w:t>2</w:t>
      </w:r>
      <w:r w:rsidR="00491441" w:rsidRPr="0068096E">
        <w:rPr>
          <w:rFonts w:ascii="仿宋_GB2312" w:eastAsia="仿宋_GB2312" w:hAnsi="仿宋_GB2312" w:cs="仿宋_GB2312" w:hint="eastAsia"/>
          <w:sz w:val="32"/>
          <w:szCs w:val="32"/>
        </w:rPr>
        <w:t>024</w:t>
      </w:r>
      <w:r w:rsidR="00491441">
        <w:rPr>
          <w:rFonts w:ascii="仿宋_GB2312" w:eastAsia="仿宋_GB2312" w:hAnsi="仿宋_GB2312" w:cs="仿宋_GB2312" w:hint="eastAsia"/>
          <w:sz w:val="32"/>
          <w:szCs w:val="32"/>
        </w:rPr>
        <w:t>年浦东新区环境污染责任保险首批应投保单位目录。</w:t>
      </w:r>
      <w:r w:rsidR="00725B08">
        <w:rPr>
          <w:rFonts w:ascii="仿宋_GB2312" w:eastAsia="仿宋_GB2312" w:hAnsi="仿宋_GB2312" w:cs="仿宋_GB2312" w:hint="eastAsia"/>
          <w:sz w:val="32"/>
          <w:szCs w:val="32"/>
        </w:rPr>
        <w:t>同时，结合浦东新区实际，制定了2024年</w:t>
      </w:r>
      <w:r w:rsidR="00725B08" w:rsidRPr="00725B08">
        <w:rPr>
          <w:rFonts w:ascii="仿宋_GB2312" w:eastAsia="仿宋_GB2312" w:hAnsi="仿宋_GB2312" w:cs="仿宋_GB2312" w:hint="eastAsia"/>
          <w:sz w:val="32"/>
          <w:szCs w:val="32"/>
        </w:rPr>
        <w:t>最低责任限额计算方法。</w:t>
      </w:r>
      <w:r w:rsidR="00491441">
        <w:rPr>
          <w:rFonts w:ascii="仿宋_GB2312" w:eastAsia="仿宋_GB2312" w:hAnsi="仿宋_GB2312" w:cs="仿宋_GB2312" w:hint="eastAsia"/>
          <w:sz w:val="32"/>
          <w:szCs w:val="32"/>
        </w:rPr>
        <w:t>现将目录和</w:t>
      </w:r>
      <w:r w:rsidR="00491441" w:rsidRPr="00491441">
        <w:rPr>
          <w:rFonts w:ascii="仿宋_GB2312" w:eastAsia="仿宋_GB2312" w:hAnsi="仿宋_GB2312" w:cs="仿宋_GB2312" w:hint="eastAsia"/>
          <w:sz w:val="32"/>
          <w:szCs w:val="32"/>
        </w:rPr>
        <w:t>最低责任限额计算方法</w:t>
      </w:r>
      <w:r w:rsidR="00491441">
        <w:rPr>
          <w:rFonts w:ascii="仿宋_GB2312" w:eastAsia="仿宋_GB2312" w:hAnsi="仿宋_GB2312" w:cs="仿宋_GB2312" w:hint="eastAsia"/>
          <w:sz w:val="32"/>
          <w:szCs w:val="32"/>
        </w:rPr>
        <w:t>予以公布。</w:t>
      </w:r>
    </w:p>
    <w:p w:rsidR="00491441" w:rsidRDefault="00491441"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录内各单位应当按照《暂行办法》有关规定投保环境污染责任保险，投保环境污染责任保险不得低于最低责任限额。鼓励目录之外的具有环境污染风险的单位投保环境污染责任保险。鼓励投保单位根据自身的环境风险防控需要与保险机构商议提高保险金额，扩大保险责任范围，提高风险保障能力。</w:t>
      </w:r>
    </w:p>
    <w:p w:rsidR="0068096E" w:rsidRDefault="00491441"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各单位对目录</w:t>
      </w:r>
      <w:r w:rsidR="00725B08">
        <w:rPr>
          <w:rFonts w:ascii="仿宋_GB2312" w:eastAsia="仿宋_GB2312" w:hAnsi="仿宋_GB2312" w:cs="仿宋_GB2312" w:hint="eastAsia"/>
          <w:sz w:val="32"/>
          <w:szCs w:val="32"/>
        </w:rPr>
        <w:t>仍有异议，或对最低责任限额计算方法</w:t>
      </w:r>
      <w:r>
        <w:rPr>
          <w:rFonts w:ascii="仿宋_GB2312" w:eastAsia="仿宋_GB2312" w:hAnsi="仿宋_GB2312" w:cs="仿宋_GB2312" w:hint="eastAsia"/>
          <w:sz w:val="32"/>
          <w:szCs w:val="32"/>
        </w:rPr>
        <w:t>有</w:t>
      </w:r>
      <w:r w:rsidR="00725B08">
        <w:rPr>
          <w:rFonts w:ascii="仿宋_GB2312" w:eastAsia="仿宋_GB2312" w:hAnsi="仿宋_GB2312" w:cs="仿宋_GB2312" w:hint="eastAsia"/>
          <w:sz w:val="32"/>
          <w:szCs w:val="32"/>
        </w:rPr>
        <w:t>疑义</w:t>
      </w:r>
      <w:r>
        <w:rPr>
          <w:rFonts w:ascii="仿宋_GB2312" w:eastAsia="仿宋_GB2312" w:hAnsi="仿宋_GB2312" w:cs="仿宋_GB2312" w:hint="eastAsia"/>
          <w:sz w:val="32"/>
          <w:szCs w:val="32"/>
        </w:rPr>
        <w:t>的</w:t>
      </w:r>
      <w:r w:rsidR="0068096E" w:rsidRPr="0068096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w:t>
      </w:r>
      <w:r w:rsidR="0068096E" w:rsidRPr="0068096E">
        <w:rPr>
          <w:rFonts w:ascii="仿宋_GB2312" w:eastAsia="仿宋_GB2312" w:hAnsi="仿宋_GB2312" w:cs="仿宋_GB2312" w:hint="eastAsia"/>
          <w:sz w:val="32"/>
          <w:szCs w:val="32"/>
        </w:rPr>
        <w:t>通过电话、电子邮件等途径，向浦东新区生态</w:t>
      </w:r>
      <w:r w:rsidR="0068096E">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rPr>
        <w:t>局</w:t>
      </w:r>
      <w:r w:rsidR="00725B08">
        <w:rPr>
          <w:rFonts w:ascii="仿宋_GB2312" w:eastAsia="仿宋_GB2312" w:hAnsi="仿宋_GB2312" w:cs="仿宋_GB2312" w:hint="eastAsia"/>
          <w:sz w:val="32"/>
          <w:szCs w:val="32"/>
        </w:rPr>
        <w:t>咨询</w:t>
      </w:r>
      <w:r>
        <w:rPr>
          <w:rFonts w:ascii="仿宋_GB2312" w:eastAsia="仿宋_GB2312" w:hAnsi="仿宋_GB2312" w:cs="仿宋_GB2312" w:hint="eastAsia"/>
          <w:sz w:val="32"/>
          <w:szCs w:val="32"/>
        </w:rPr>
        <w:t>。</w:t>
      </w:r>
    </w:p>
    <w:p w:rsidR="00491441" w:rsidRPr="00491441" w:rsidRDefault="00491441"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491441" w:rsidRDefault="00491441" w:rsidP="0068096E">
      <w:pPr>
        <w:ind w:firstLineChars="200" w:firstLine="640"/>
        <w:rPr>
          <w:rFonts w:ascii="仿宋_GB2312" w:eastAsia="仿宋_GB2312" w:hAnsi="仿宋_GB2312" w:cs="仿宋_GB2312"/>
          <w:sz w:val="32"/>
          <w:szCs w:val="32"/>
        </w:rPr>
      </w:pPr>
    </w:p>
    <w:p w:rsidR="001955DA" w:rsidRDefault="001955DA"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r w:rsidRPr="0068096E">
        <w:rPr>
          <w:rFonts w:ascii="仿宋_GB2312" w:eastAsia="仿宋_GB2312" w:hAnsi="仿宋_GB2312" w:cs="仿宋_GB2312" w:hint="eastAsia"/>
          <w:sz w:val="32"/>
          <w:szCs w:val="32"/>
        </w:rPr>
        <w:t>024</w:t>
      </w:r>
      <w:r>
        <w:rPr>
          <w:rFonts w:ascii="仿宋_GB2312" w:eastAsia="仿宋_GB2312" w:hAnsi="仿宋_GB2312" w:cs="仿宋_GB2312" w:hint="eastAsia"/>
          <w:sz w:val="32"/>
          <w:szCs w:val="32"/>
        </w:rPr>
        <w:t>年浦东新区环境污染责任保险首批应投保单</w:t>
      </w:r>
      <w:r>
        <w:rPr>
          <w:rFonts w:ascii="仿宋_GB2312" w:eastAsia="仿宋_GB2312" w:hAnsi="仿宋_GB2312" w:cs="仿宋_GB2312" w:hint="eastAsia"/>
          <w:sz w:val="32"/>
          <w:szCs w:val="32"/>
        </w:rPr>
        <w:lastRenderedPageBreak/>
        <w:t>位目录和最低责任限额计算方法</w:t>
      </w:r>
    </w:p>
    <w:p w:rsidR="001955DA" w:rsidRPr="0068096E" w:rsidRDefault="001955DA" w:rsidP="0068096E">
      <w:pPr>
        <w:ind w:firstLineChars="200" w:firstLine="640"/>
        <w:rPr>
          <w:rFonts w:ascii="仿宋_GB2312" w:eastAsia="仿宋_GB2312" w:hAnsi="仿宋_GB2312" w:cs="仿宋_GB2312"/>
          <w:sz w:val="32"/>
          <w:szCs w:val="32"/>
        </w:rPr>
      </w:pPr>
    </w:p>
    <w:p w:rsidR="0068096E" w:rsidRDefault="00E162F1"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w:t>
      </w:r>
      <w:r w:rsidR="0068096E" w:rsidRPr="0068096E">
        <w:rPr>
          <w:rFonts w:ascii="仿宋_GB2312" w:eastAsia="仿宋_GB2312" w:hAnsi="仿宋_GB2312" w:cs="仿宋_GB2312" w:hint="eastAsia"/>
          <w:sz w:val="32"/>
          <w:szCs w:val="32"/>
        </w:rPr>
        <w:t>电话：38583484、38583570</w:t>
      </w:r>
    </w:p>
    <w:p w:rsidR="0068096E" w:rsidRDefault="0068096E" w:rsidP="006809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sidR="00043173">
        <w:fldChar w:fldCharType="begin"/>
      </w:r>
      <w:r w:rsidR="00043173">
        <w:instrText xml:space="preserve"> HYPERLINK "mailto:pdhbjsthjbhc@163.com" </w:instrText>
      </w:r>
      <w:r w:rsidR="00043173">
        <w:fldChar w:fldCharType="separate"/>
      </w:r>
      <w:r w:rsidRPr="001E1243">
        <w:rPr>
          <w:rStyle w:val="a3"/>
          <w:rFonts w:ascii="仿宋_GB2312" w:eastAsia="仿宋_GB2312" w:hAnsi="仿宋_GB2312" w:cs="仿宋_GB2312"/>
          <w:sz w:val="32"/>
          <w:szCs w:val="32"/>
        </w:rPr>
        <w:t>pdhbjsthjbhc@163.com</w:t>
      </w:r>
      <w:r w:rsidR="00043173">
        <w:rPr>
          <w:rStyle w:val="a3"/>
          <w:rFonts w:ascii="仿宋_GB2312" w:eastAsia="仿宋_GB2312" w:hAnsi="仿宋_GB2312" w:cs="仿宋_GB2312"/>
          <w:sz w:val="32"/>
          <w:szCs w:val="32"/>
        </w:rPr>
        <w:fldChar w:fldCharType="end"/>
      </w:r>
    </w:p>
    <w:p w:rsidR="0068096E" w:rsidRDefault="0068096E" w:rsidP="0068096E">
      <w:pPr>
        <w:ind w:firstLineChars="200" w:firstLine="640"/>
        <w:rPr>
          <w:rFonts w:ascii="仿宋_GB2312" w:eastAsia="仿宋_GB2312" w:hAnsi="仿宋_GB2312" w:cs="仿宋_GB2312"/>
          <w:sz w:val="32"/>
          <w:szCs w:val="32"/>
        </w:rPr>
      </w:pPr>
    </w:p>
    <w:p w:rsidR="0068096E" w:rsidRDefault="0068096E" w:rsidP="0068096E">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浦东新区生态环境局</w:t>
      </w:r>
    </w:p>
    <w:p w:rsidR="0068096E" w:rsidRDefault="0068096E" w:rsidP="00E63B37">
      <w:pPr>
        <w:wordWrap w:val="0"/>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49144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DB4A6B">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r w:rsidR="00E63B37">
        <w:rPr>
          <w:rFonts w:ascii="仿宋_GB2312" w:eastAsia="仿宋_GB2312" w:hAnsi="仿宋_GB2312" w:cs="仿宋_GB2312" w:hint="eastAsia"/>
          <w:sz w:val="32"/>
          <w:szCs w:val="32"/>
        </w:rPr>
        <w:t xml:space="preserve"> </w:t>
      </w:r>
    </w:p>
    <w:p w:rsidR="00E63B37" w:rsidRDefault="00E63B37" w:rsidP="0068096E">
      <w:pPr>
        <w:ind w:firstLineChars="200" w:firstLine="640"/>
        <w:jc w:val="right"/>
        <w:rPr>
          <w:rFonts w:ascii="仿宋_GB2312" w:eastAsia="仿宋_GB2312" w:hAnsi="仿宋_GB2312" w:cs="仿宋_GB2312"/>
          <w:sz w:val="32"/>
          <w:szCs w:val="32"/>
        </w:rPr>
      </w:pPr>
    </w:p>
    <w:p w:rsidR="00E948EA" w:rsidRPr="00E948EA" w:rsidRDefault="00E948EA" w:rsidP="0068096E">
      <w:pPr>
        <w:ind w:firstLineChars="200" w:firstLine="640"/>
        <w:jc w:val="right"/>
        <w:rPr>
          <w:rFonts w:ascii="仿宋_GB2312" w:eastAsia="仿宋_GB2312" w:hAnsi="仿宋_GB2312" w:cs="仿宋_GB2312"/>
          <w:sz w:val="32"/>
          <w:szCs w:val="32"/>
        </w:rPr>
      </w:pPr>
    </w:p>
    <w:p w:rsidR="000E28A4" w:rsidRDefault="000E28A4" w:rsidP="000E28A4">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w:t>
      </w:r>
    </w:p>
    <w:p w:rsidR="00E63B37" w:rsidRPr="00E2212D" w:rsidRDefault="00E63B37" w:rsidP="00E2212D">
      <w:pPr>
        <w:jc w:val="center"/>
        <w:rPr>
          <w:rFonts w:ascii="仿宋_GB2312" w:eastAsia="仿宋_GB2312" w:hAnsi="仿宋_GB2312" w:cs="仿宋_GB2312"/>
          <w:b/>
          <w:sz w:val="32"/>
          <w:szCs w:val="32"/>
        </w:rPr>
      </w:pPr>
      <w:r w:rsidRPr="00E2212D">
        <w:rPr>
          <w:rFonts w:ascii="仿宋_GB2312" w:eastAsia="仿宋_GB2312" w:hAnsi="仿宋_GB2312" w:cs="仿宋_GB2312" w:hint="eastAsia"/>
          <w:b/>
          <w:sz w:val="32"/>
          <w:szCs w:val="32"/>
        </w:rPr>
        <w:t>2024年浦东新区环境污染责任保险首批应投保单位目录和最低责任限额计算方法</w:t>
      </w:r>
    </w:p>
    <w:p w:rsidR="00E63B37" w:rsidRDefault="00E63B37" w:rsidP="00E63B37">
      <w:pPr>
        <w:jc w:val="left"/>
        <w:rPr>
          <w:rFonts w:ascii="仿宋_GB2312" w:eastAsia="仿宋_GB2312" w:hAnsi="仿宋_GB2312" w:cs="仿宋_GB2312"/>
          <w:sz w:val="32"/>
          <w:szCs w:val="32"/>
        </w:rPr>
      </w:pPr>
    </w:p>
    <w:p w:rsidR="00E63B37" w:rsidRPr="00E2212D" w:rsidRDefault="00E63B37" w:rsidP="00E63B37">
      <w:pPr>
        <w:jc w:val="left"/>
        <w:rPr>
          <w:rFonts w:ascii="仿宋_GB2312" w:eastAsia="仿宋_GB2312" w:hAnsi="仿宋_GB2312" w:cs="仿宋_GB2312"/>
          <w:b/>
          <w:sz w:val="32"/>
          <w:szCs w:val="32"/>
        </w:rPr>
      </w:pPr>
      <w:r w:rsidRPr="00E2212D">
        <w:rPr>
          <w:rFonts w:ascii="仿宋_GB2312" w:eastAsia="仿宋_GB2312" w:hAnsi="仿宋_GB2312" w:cs="仿宋_GB2312" w:hint="eastAsia"/>
          <w:b/>
          <w:sz w:val="32"/>
          <w:szCs w:val="32"/>
        </w:rPr>
        <w:t>一、2024年浦东新区环境污染责任保险首批应投保单位目录</w:t>
      </w:r>
    </w:p>
    <w:p w:rsidR="00E63B37" w:rsidRDefault="00491441" w:rsidP="00E63B37">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685CFA">
        <w:rPr>
          <w:rFonts w:ascii="仿宋_GB2312" w:eastAsia="仿宋_GB2312" w:hAnsi="仿宋_GB2312" w:cs="仿宋_GB2312" w:hint="eastAsia"/>
          <w:sz w:val="32"/>
          <w:szCs w:val="32"/>
        </w:rPr>
        <w:t>包括临港新片区、外高桥保税区</w:t>
      </w:r>
      <w:r>
        <w:rPr>
          <w:rFonts w:ascii="仿宋_GB2312" w:eastAsia="仿宋_GB2312" w:hAnsi="仿宋_GB2312" w:cs="仿宋_GB2312" w:hint="eastAsia"/>
          <w:sz w:val="32"/>
          <w:szCs w:val="32"/>
        </w:rPr>
        <w:t>）</w:t>
      </w:r>
    </w:p>
    <w:tbl>
      <w:tblPr>
        <w:tblW w:w="85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7229"/>
      </w:tblGrid>
      <w:tr w:rsidR="00DB4A6B" w:rsidRPr="004967CB" w:rsidTr="00F8164F">
        <w:trPr>
          <w:trHeight w:val="312"/>
        </w:trPr>
        <w:tc>
          <w:tcPr>
            <w:tcW w:w="1281" w:type="dxa"/>
            <w:vMerge w:val="restart"/>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序号</w:t>
            </w:r>
          </w:p>
        </w:tc>
        <w:tc>
          <w:tcPr>
            <w:tcW w:w="7229" w:type="dxa"/>
            <w:vMerge w:val="restart"/>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b/>
                <w:bCs/>
                <w:kern w:val="0"/>
                <w:sz w:val="20"/>
                <w:szCs w:val="20"/>
              </w:rPr>
              <w:t>单位名称</w:t>
            </w:r>
          </w:p>
        </w:tc>
      </w:tr>
      <w:tr w:rsidR="00DB4A6B" w:rsidRPr="004967CB" w:rsidTr="00F8164F">
        <w:trPr>
          <w:trHeight w:val="312"/>
        </w:trPr>
        <w:tc>
          <w:tcPr>
            <w:tcW w:w="1281" w:type="dxa"/>
            <w:vMerge/>
            <w:shd w:val="clear" w:color="auto" w:fill="auto"/>
            <w:vAlign w:val="center"/>
            <w:hideMark/>
          </w:tcPr>
          <w:p w:rsidR="00DB4A6B" w:rsidRPr="004967CB" w:rsidRDefault="00DB4A6B" w:rsidP="00F8164F">
            <w:pPr>
              <w:widowControl/>
              <w:jc w:val="left"/>
              <w:rPr>
                <w:rFonts w:ascii="宋体" w:eastAsia="宋体" w:hAnsi="宋体" w:cs="宋体"/>
                <w:color w:val="000000"/>
                <w:kern w:val="0"/>
                <w:sz w:val="22"/>
              </w:rPr>
            </w:pPr>
          </w:p>
        </w:tc>
        <w:tc>
          <w:tcPr>
            <w:tcW w:w="7229" w:type="dxa"/>
            <w:vMerge/>
            <w:shd w:val="clear" w:color="auto" w:fill="auto"/>
            <w:vAlign w:val="center"/>
            <w:hideMark/>
          </w:tcPr>
          <w:p w:rsidR="00DB4A6B" w:rsidRPr="004967CB" w:rsidRDefault="00DB4A6B" w:rsidP="00F8164F">
            <w:pPr>
              <w:widowControl/>
              <w:jc w:val="left"/>
              <w:rPr>
                <w:rFonts w:ascii="宋体" w:eastAsia="宋体" w:hAnsi="宋体" w:cs="宋体"/>
                <w:kern w:val="0"/>
                <w:sz w:val="20"/>
                <w:szCs w:val="20"/>
              </w:rPr>
            </w:pP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上海交运汽车动力系统曹路厂区</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上海黎明资源再利用有限公司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上海赛科利汽车模具技术应用有限公司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上海上药新亚药业有限公司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上海天然气管网有限公司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上海浦航石油有限公司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上海交运汽车动力系统妙境北路厂区</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上海隆澜实业有限公司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上海美迪西生物医药股份有限公司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上海稳富实业有限公司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上海弘夏电镀有限公司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上海外高桥第二发电有限责任公司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lastRenderedPageBreak/>
              <w:t>13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上海外高桥第三发电有限责任公司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上海外高桥发电有限责任公司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上海外高桥造船有限公司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上海现代制药股份有限公司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荻晟</w:t>
            </w:r>
            <w:proofErr w:type="gramEnd"/>
            <w:r w:rsidRPr="004967CB">
              <w:rPr>
                <w:rFonts w:ascii="宋体" w:eastAsia="宋体" w:hAnsi="宋体" w:cs="宋体" w:hint="eastAsia"/>
                <w:kern w:val="0"/>
                <w:sz w:val="20"/>
                <w:szCs w:val="20"/>
              </w:rPr>
              <w:t>船舶服务有限公司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上海沪东集装箱码头有限公司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上海明东集装箱码头有限公司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上海亿升海运仓储有限公司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中远海运（上海）有限公司船舶污水处理厂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上海金鼎印务有限公司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上海烟草包装印刷有限公司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巴斯夫聚氨酯特种产品（中国）有限公司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巴斯夫新材料有限公司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德润宝特种</w:t>
            </w:r>
            <w:proofErr w:type="gramEnd"/>
            <w:r w:rsidRPr="004967CB">
              <w:rPr>
                <w:rFonts w:ascii="宋体" w:eastAsia="宋体" w:hAnsi="宋体" w:cs="宋体" w:hint="eastAsia"/>
                <w:kern w:val="0"/>
                <w:sz w:val="20"/>
                <w:szCs w:val="20"/>
              </w:rPr>
              <w:t>润滑剂有限公司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上海国际港务（集团）股份有限公司振东集装箱码头分公司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上海洪星船务工程有限公司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29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上海蒙明仓储有限公司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上海浦东国际集装箱码头有限公司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上海雨雪船务有限公司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上海中油</w:t>
            </w:r>
            <w:proofErr w:type="gramStart"/>
            <w:r w:rsidRPr="004967CB">
              <w:rPr>
                <w:rFonts w:ascii="宋体" w:eastAsia="宋体" w:hAnsi="宋体" w:cs="宋体" w:hint="eastAsia"/>
                <w:kern w:val="0"/>
                <w:sz w:val="20"/>
                <w:szCs w:val="20"/>
              </w:rPr>
              <w:t>中燃石油</w:t>
            </w:r>
            <w:proofErr w:type="gramEnd"/>
            <w:r w:rsidRPr="004967CB">
              <w:rPr>
                <w:rFonts w:ascii="宋体" w:eastAsia="宋体" w:hAnsi="宋体" w:cs="宋体" w:hint="eastAsia"/>
                <w:kern w:val="0"/>
                <w:sz w:val="20"/>
                <w:szCs w:val="20"/>
              </w:rPr>
              <w:t>仓储有限公司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中国石化润滑油有限公司华东分公司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中国石化上海高桥石油化工有限公司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中国石化销售股份有限公司上海石油储运配送分公司高桥油库</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中化东方上海石化储运有限公司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上海华力集成电路制造有限公司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奇华顿食用香精香料（上海）有限公司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39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上海城投污水处理有限公司白龙港污水处理厂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上海大西洋焊接材料有限责任公司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上海泓博智源医药股份有限公司（东区）</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上海泓博智源医药股份有限公司（西区）</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上海天马微电子有限公司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上海新金桥环保有限公司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武汉天马微电子有限公司上海分公司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延锋彼欧汽车外饰系统有限公司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美迪西普晖医药科技（上海）有限公司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南汇县三墩金属</w:t>
            </w:r>
            <w:proofErr w:type="gramStart"/>
            <w:r w:rsidRPr="004967CB">
              <w:rPr>
                <w:rFonts w:ascii="宋体" w:eastAsia="宋体" w:hAnsi="宋体" w:cs="宋体" w:hint="eastAsia"/>
                <w:kern w:val="0"/>
                <w:sz w:val="20"/>
                <w:szCs w:val="20"/>
              </w:rPr>
              <w:t>发黑厂</w:t>
            </w:r>
            <w:proofErr w:type="gramEnd"/>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49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上海东龙服饰有限公司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上海恩捷新材料科技有限公司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上海生源钢带有限公司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上海亚远化纺有限公司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巴斯夫催化剂（上海）有限公司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后藤电子（上海）有限公司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康宁（上海）有限公司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lastRenderedPageBreak/>
              <w:t>56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联合汽车电子有限公司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欧姆龙（上海）有限公司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三井高科技（上海）有限公司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59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上海丹佛斯液压传动有限公司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上海国际油漆有限公司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上海海立电器有限公司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上海华虹宏力半导体制造有限公司（一厂）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上海名辰模塑科技有限公司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上海延锋金桥汽车饰件系统有限公司-金桥</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上海庄臣有限公司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上汽通用汽车有限公司（金穗路）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上汽通用汽车有限公司（申江路）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万特电子（上海）有限公司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69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长谷川香料（上海）有限公司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昌硕科技（上海）有限公司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恺</w:t>
            </w:r>
            <w:proofErr w:type="gramEnd"/>
            <w:r w:rsidRPr="004967CB">
              <w:rPr>
                <w:rFonts w:ascii="宋体" w:eastAsia="宋体" w:hAnsi="宋体" w:cs="宋体" w:hint="eastAsia"/>
                <w:kern w:val="0"/>
                <w:sz w:val="20"/>
                <w:szCs w:val="20"/>
              </w:rPr>
              <w:t>博座椅机械部件有限公司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上海ABB工程有限公司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上海高砂·</w:t>
            </w:r>
            <w:proofErr w:type="gramStart"/>
            <w:r w:rsidRPr="004967CB">
              <w:rPr>
                <w:rFonts w:ascii="宋体" w:eastAsia="宋体" w:hAnsi="宋体" w:cs="宋体" w:hint="eastAsia"/>
                <w:kern w:val="0"/>
                <w:sz w:val="20"/>
                <w:szCs w:val="20"/>
              </w:rPr>
              <w:t>鉴臣香料</w:t>
            </w:r>
            <w:proofErr w:type="gramEnd"/>
            <w:r w:rsidRPr="004967CB">
              <w:rPr>
                <w:rFonts w:ascii="宋体" w:eastAsia="宋体" w:hAnsi="宋体" w:cs="宋体" w:hint="eastAsia"/>
                <w:kern w:val="0"/>
                <w:sz w:val="20"/>
                <w:szCs w:val="20"/>
              </w:rPr>
              <w:t>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上海吉</w:t>
            </w:r>
            <w:proofErr w:type="gramStart"/>
            <w:r w:rsidRPr="004967CB">
              <w:rPr>
                <w:rFonts w:ascii="宋体" w:eastAsia="宋体" w:hAnsi="宋体" w:cs="宋体" w:hint="eastAsia"/>
                <w:kern w:val="0"/>
                <w:sz w:val="20"/>
                <w:szCs w:val="20"/>
              </w:rPr>
              <w:t>翔汽车</w:t>
            </w:r>
            <w:proofErr w:type="gramEnd"/>
            <w:r w:rsidRPr="004967CB">
              <w:rPr>
                <w:rFonts w:ascii="宋体" w:eastAsia="宋体" w:hAnsi="宋体" w:cs="宋体" w:hint="eastAsia"/>
                <w:kern w:val="0"/>
                <w:sz w:val="20"/>
                <w:szCs w:val="20"/>
              </w:rPr>
              <w:t>车顶饰件有限责任公司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纳铁福</w:t>
            </w:r>
            <w:proofErr w:type="gramEnd"/>
            <w:r w:rsidRPr="004967CB">
              <w:rPr>
                <w:rFonts w:ascii="宋体" w:eastAsia="宋体" w:hAnsi="宋体" w:cs="宋体" w:hint="eastAsia"/>
                <w:kern w:val="0"/>
                <w:sz w:val="20"/>
                <w:szCs w:val="20"/>
              </w:rPr>
              <w:t>传动系统有限公司（康桥路）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纳铁福</w:t>
            </w:r>
            <w:proofErr w:type="gramEnd"/>
            <w:r w:rsidRPr="004967CB">
              <w:rPr>
                <w:rFonts w:ascii="宋体" w:eastAsia="宋体" w:hAnsi="宋体" w:cs="宋体" w:hint="eastAsia"/>
                <w:kern w:val="0"/>
                <w:sz w:val="20"/>
                <w:szCs w:val="20"/>
              </w:rPr>
              <w:t>传动系统有限公司（康沈路）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纳铁福</w:t>
            </w:r>
            <w:proofErr w:type="gramEnd"/>
            <w:r w:rsidRPr="004967CB">
              <w:rPr>
                <w:rFonts w:ascii="宋体" w:eastAsia="宋体" w:hAnsi="宋体" w:cs="宋体" w:hint="eastAsia"/>
                <w:kern w:val="0"/>
                <w:sz w:val="20"/>
                <w:szCs w:val="20"/>
              </w:rPr>
              <w:t>传动系统</w:t>
            </w:r>
            <w:proofErr w:type="gramStart"/>
            <w:r w:rsidRPr="004967CB">
              <w:rPr>
                <w:rFonts w:ascii="宋体" w:eastAsia="宋体" w:hAnsi="宋体" w:cs="宋体" w:hint="eastAsia"/>
                <w:kern w:val="0"/>
                <w:sz w:val="20"/>
                <w:szCs w:val="20"/>
              </w:rPr>
              <w:t>有限公司秀浦分厂</w:t>
            </w:r>
            <w:proofErr w:type="gramEnd"/>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上海神火铝箔有限公司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79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伟思</w:t>
            </w:r>
            <w:proofErr w:type="gramStart"/>
            <w:r w:rsidRPr="004967CB">
              <w:rPr>
                <w:rFonts w:ascii="宋体" w:eastAsia="宋体" w:hAnsi="宋体" w:cs="宋体" w:hint="eastAsia"/>
                <w:kern w:val="0"/>
                <w:sz w:val="20"/>
                <w:szCs w:val="20"/>
              </w:rPr>
              <w:t>磊</w:t>
            </w:r>
            <w:proofErr w:type="gramEnd"/>
            <w:r w:rsidRPr="004967CB">
              <w:rPr>
                <w:rFonts w:ascii="宋体" w:eastAsia="宋体" w:hAnsi="宋体" w:cs="宋体" w:hint="eastAsia"/>
                <w:kern w:val="0"/>
                <w:sz w:val="20"/>
                <w:szCs w:val="20"/>
              </w:rPr>
              <w:t>尤为涂层（上海）有限公司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耀</w:t>
            </w:r>
            <w:proofErr w:type="gramStart"/>
            <w:r w:rsidRPr="004967CB">
              <w:rPr>
                <w:rFonts w:ascii="宋体" w:eastAsia="宋体" w:hAnsi="宋体" w:cs="宋体" w:hint="eastAsia"/>
                <w:kern w:val="0"/>
                <w:sz w:val="20"/>
                <w:szCs w:val="20"/>
              </w:rPr>
              <w:t>皮工程</w:t>
            </w:r>
            <w:proofErr w:type="gramEnd"/>
            <w:r w:rsidRPr="004967CB">
              <w:rPr>
                <w:rFonts w:ascii="宋体" w:eastAsia="宋体" w:hAnsi="宋体" w:cs="宋体" w:hint="eastAsia"/>
                <w:kern w:val="0"/>
                <w:sz w:val="20"/>
                <w:szCs w:val="20"/>
              </w:rPr>
              <w:t>玻璃有限公司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中钞油墨有限公司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森蓝环保</w:t>
            </w:r>
            <w:proofErr w:type="gramEnd"/>
            <w:r w:rsidRPr="004967CB">
              <w:rPr>
                <w:rFonts w:ascii="宋体" w:eastAsia="宋体" w:hAnsi="宋体" w:cs="宋体" w:hint="eastAsia"/>
                <w:kern w:val="0"/>
                <w:sz w:val="20"/>
                <w:szCs w:val="20"/>
              </w:rPr>
              <w:t>（上海）有限公司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上海城投环境（集团）有限公司（飞灰填埋）</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上海江南船舶管业有限公司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上海老港废弃物处置有限公司（码头）</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上海老港废弃物处置有限公司（四期）</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上海老港固废综合开发有限公司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上海老港固废综合开发有限公司（老港渗滤液处理厂）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89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上海老港固废综合开发有限公司（老港综合填埋场）</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上海浦发热电能源有限公司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上海市固体废物处置有限公司（老港基地焚烧线）</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上海市固体废物处置有限公司（老港一般工业固废）</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上海新</w:t>
            </w:r>
            <w:proofErr w:type="gramStart"/>
            <w:r w:rsidRPr="004967CB">
              <w:rPr>
                <w:rFonts w:ascii="宋体" w:eastAsia="宋体" w:hAnsi="宋体" w:cs="宋体" w:hint="eastAsia"/>
                <w:kern w:val="0"/>
                <w:sz w:val="20"/>
                <w:szCs w:val="20"/>
              </w:rPr>
              <w:t>禹固废处理</w:t>
            </w:r>
            <w:proofErr w:type="gramEnd"/>
            <w:r w:rsidRPr="004967CB">
              <w:rPr>
                <w:rFonts w:ascii="宋体" w:eastAsia="宋体" w:hAnsi="宋体" w:cs="宋体" w:hint="eastAsia"/>
                <w:kern w:val="0"/>
                <w:sz w:val="20"/>
                <w:szCs w:val="20"/>
              </w:rPr>
              <w:t>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上海元邦化工制造有限公司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上海创丰特殊树脂有限公司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96</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格科半导体（上海）有限公司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卡特彼勒再制造工业（上海）有限公司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98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上海城投兴港环境科技发展有限公司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lastRenderedPageBreak/>
              <w:t>99</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上海第一机床厂有限公司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上海飞机制造有限公司（浦东基地）</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上海积塔半导体有限公司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上海吉田拉链有限公司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上海临港特种物流有限公司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上海汽车集团股份有限公司乘用车分公司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上海天汉环境资源有限公司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上海外高桥造船海洋工程有限公司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上海新昇半导体科技有限公司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上海中船三井造船柴油机有限公司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109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上海中集洋山物流装备有限公司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特斯拉（上海）有限公司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111</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西门子歌美</w:t>
            </w:r>
            <w:proofErr w:type="gramStart"/>
            <w:r w:rsidRPr="004967CB">
              <w:rPr>
                <w:rFonts w:ascii="宋体" w:eastAsia="宋体" w:hAnsi="宋体" w:cs="宋体" w:hint="eastAsia"/>
                <w:kern w:val="0"/>
                <w:sz w:val="20"/>
                <w:szCs w:val="20"/>
              </w:rPr>
              <w:t>飒</w:t>
            </w:r>
            <w:proofErr w:type="gramEnd"/>
            <w:r w:rsidRPr="004967CB">
              <w:rPr>
                <w:rFonts w:ascii="宋体" w:eastAsia="宋体" w:hAnsi="宋体" w:cs="宋体" w:hint="eastAsia"/>
                <w:kern w:val="0"/>
                <w:sz w:val="20"/>
                <w:szCs w:val="20"/>
              </w:rPr>
              <w:t>再生能源（上海）有限公司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112</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中船动力研究院有限公司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113</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上海港城危险品物流有限公司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114</w:t>
            </w:r>
          </w:p>
        </w:tc>
        <w:tc>
          <w:tcPr>
            <w:tcW w:w="7229" w:type="dxa"/>
            <w:shd w:val="clear" w:color="auto" w:fill="auto"/>
            <w:noWrap/>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上海鼎泰匠芯科技有限公司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安集微电子科技（上海）股份有限公司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环维电子</w:t>
            </w:r>
            <w:proofErr w:type="gramEnd"/>
            <w:r w:rsidRPr="004967CB">
              <w:rPr>
                <w:rFonts w:ascii="宋体" w:eastAsia="宋体" w:hAnsi="宋体" w:cs="宋体" w:hint="eastAsia"/>
                <w:kern w:val="0"/>
                <w:sz w:val="20"/>
                <w:szCs w:val="20"/>
              </w:rPr>
              <w:t>（上海）有限公司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立</w:t>
            </w:r>
            <w:proofErr w:type="gramStart"/>
            <w:r w:rsidRPr="004967CB">
              <w:rPr>
                <w:rFonts w:ascii="宋体" w:eastAsia="宋体" w:hAnsi="宋体" w:cs="宋体" w:hint="eastAsia"/>
                <w:kern w:val="0"/>
                <w:sz w:val="20"/>
                <w:szCs w:val="20"/>
              </w:rPr>
              <w:t>邦</w:t>
            </w:r>
            <w:proofErr w:type="gramEnd"/>
            <w:r w:rsidRPr="004967CB">
              <w:rPr>
                <w:rFonts w:ascii="宋体" w:eastAsia="宋体" w:hAnsi="宋体" w:cs="宋体" w:hint="eastAsia"/>
                <w:kern w:val="0"/>
                <w:sz w:val="20"/>
                <w:szCs w:val="20"/>
              </w:rPr>
              <w:t>涂料（中国）有限公司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上海大联石油化工有限公司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119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上海法雷奥汽车电器系统有限公司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上海欧姆龙控制电器有限公司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中微半导体设备（上海）股份有限公司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埃地沃兹贸易（上海）有限公司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安靠封装</w:t>
            </w:r>
            <w:proofErr w:type="gramEnd"/>
            <w:r w:rsidRPr="004967CB">
              <w:rPr>
                <w:rFonts w:ascii="宋体" w:eastAsia="宋体" w:hAnsi="宋体" w:cs="宋体" w:hint="eastAsia"/>
                <w:kern w:val="0"/>
                <w:sz w:val="20"/>
                <w:szCs w:val="20"/>
              </w:rPr>
              <w:t>测试（上海）有限公司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贝卡尔特应用</w:t>
            </w:r>
            <w:proofErr w:type="gramEnd"/>
            <w:r w:rsidRPr="004967CB">
              <w:rPr>
                <w:rFonts w:ascii="宋体" w:eastAsia="宋体" w:hAnsi="宋体" w:cs="宋体" w:hint="eastAsia"/>
                <w:kern w:val="0"/>
                <w:sz w:val="20"/>
                <w:szCs w:val="20"/>
              </w:rPr>
              <w:t>材料科技（上海）有限公司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帝人化成</w:t>
            </w:r>
            <w:proofErr w:type="gramEnd"/>
            <w:r w:rsidRPr="004967CB">
              <w:rPr>
                <w:rFonts w:ascii="宋体" w:eastAsia="宋体" w:hAnsi="宋体" w:cs="宋体" w:hint="eastAsia"/>
                <w:kern w:val="0"/>
                <w:sz w:val="20"/>
                <w:szCs w:val="20"/>
              </w:rPr>
              <w:t>复合塑料（上海）有限公司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上海合</w:t>
            </w:r>
            <w:proofErr w:type="gramStart"/>
            <w:r w:rsidRPr="004967CB">
              <w:rPr>
                <w:rFonts w:ascii="宋体" w:eastAsia="宋体" w:hAnsi="宋体" w:cs="宋体" w:hint="eastAsia"/>
                <w:kern w:val="0"/>
                <w:sz w:val="20"/>
                <w:szCs w:val="20"/>
              </w:rPr>
              <w:t>全药物</w:t>
            </w:r>
            <w:proofErr w:type="gramEnd"/>
            <w:r w:rsidRPr="004967CB">
              <w:rPr>
                <w:rFonts w:ascii="宋体" w:eastAsia="宋体" w:hAnsi="宋体" w:cs="宋体" w:hint="eastAsia"/>
                <w:kern w:val="0"/>
                <w:sz w:val="20"/>
                <w:szCs w:val="20"/>
              </w:rPr>
              <w:t>研发有限公司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上海合全医药有限公司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上海杰</w:t>
            </w:r>
            <w:proofErr w:type="gramStart"/>
            <w:r w:rsidRPr="004967CB">
              <w:rPr>
                <w:rFonts w:ascii="宋体" w:eastAsia="宋体" w:hAnsi="宋体" w:cs="宋体" w:hint="eastAsia"/>
                <w:kern w:val="0"/>
                <w:sz w:val="20"/>
                <w:szCs w:val="20"/>
              </w:rPr>
              <w:t>世</w:t>
            </w:r>
            <w:proofErr w:type="gramEnd"/>
            <w:r w:rsidRPr="004967CB">
              <w:rPr>
                <w:rFonts w:ascii="宋体" w:eastAsia="宋体" w:hAnsi="宋体" w:cs="宋体" w:hint="eastAsia"/>
                <w:kern w:val="0"/>
                <w:sz w:val="20"/>
                <w:szCs w:val="20"/>
              </w:rPr>
              <w:t>腾连接器有限公司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129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上海莫仕连接器有限公司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上海润诺生物科技有限公司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上海外高桥环保服务公司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上海药明康德</w:t>
            </w:r>
            <w:proofErr w:type="gramEnd"/>
            <w:r w:rsidRPr="004967CB">
              <w:rPr>
                <w:rFonts w:ascii="宋体" w:eastAsia="宋体" w:hAnsi="宋体" w:cs="宋体" w:hint="eastAsia"/>
                <w:kern w:val="0"/>
                <w:sz w:val="20"/>
                <w:szCs w:val="20"/>
              </w:rPr>
              <w:t>新药开发有限公司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上海药明生物技术</w:t>
            </w:r>
            <w:proofErr w:type="gramEnd"/>
            <w:r w:rsidRPr="004967CB">
              <w:rPr>
                <w:rFonts w:ascii="宋体" w:eastAsia="宋体" w:hAnsi="宋体" w:cs="宋体" w:hint="eastAsia"/>
                <w:kern w:val="0"/>
                <w:sz w:val="20"/>
                <w:szCs w:val="20"/>
              </w:rPr>
              <w:t>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上海智药科技有限公司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事必得精密机械（上海）有限公司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特创工程塑料</w:t>
            </w:r>
            <w:proofErr w:type="gramEnd"/>
            <w:r w:rsidRPr="004967CB">
              <w:rPr>
                <w:rFonts w:ascii="宋体" w:eastAsia="宋体" w:hAnsi="宋体" w:cs="宋体" w:hint="eastAsia"/>
                <w:kern w:val="0"/>
                <w:sz w:val="20"/>
                <w:szCs w:val="20"/>
              </w:rPr>
              <w:t>（上海）有限公司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上海奥达科股份有限公司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上海港机重工有限公司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139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上海普洛创智医药科技有限公司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勃</w:t>
            </w:r>
            <w:proofErr w:type="gramEnd"/>
            <w:r w:rsidRPr="004967CB">
              <w:rPr>
                <w:rFonts w:ascii="宋体" w:eastAsia="宋体" w:hAnsi="宋体" w:cs="宋体" w:hint="eastAsia"/>
                <w:kern w:val="0"/>
                <w:sz w:val="20"/>
                <w:szCs w:val="20"/>
              </w:rPr>
              <w:t>林格殷格翰生物药业(中国)有限公司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环旭电子</w:t>
            </w:r>
            <w:proofErr w:type="gramEnd"/>
            <w:r w:rsidRPr="004967CB">
              <w:rPr>
                <w:rFonts w:ascii="宋体" w:eastAsia="宋体" w:hAnsi="宋体" w:cs="宋体" w:hint="eastAsia"/>
                <w:kern w:val="0"/>
                <w:sz w:val="20"/>
                <w:szCs w:val="20"/>
              </w:rPr>
              <w:t>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lastRenderedPageBreak/>
              <w:t>142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环旭电子</w:t>
            </w:r>
            <w:proofErr w:type="gramEnd"/>
            <w:r w:rsidRPr="004967CB">
              <w:rPr>
                <w:rFonts w:ascii="宋体" w:eastAsia="宋体" w:hAnsi="宋体" w:cs="宋体" w:hint="eastAsia"/>
                <w:kern w:val="0"/>
                <w:sz w:val="20"/>
                <w:szCs w:val="20"/>
              </w:rPr>
              <w:t>股份有限公司上海盛夏路分公司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康龙化成（上海）新药技术有限公司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凌华科技</w:t>
            </w:r>
            <w:proofErr w:type="gramEnd"/>
            <w:r w:rsidRPr="004967CB">
              <w:rPr>
                <w:rFonts w:ascii="宋体" w:eastAsia="宋体" w:hAnsi="宋体" w:cs="宋体" w:hint="eastAsia"/>
                <w:kern w:val="0"/>
                <w:sz w:val="20"/>
                <w:szCs w:val="20"/>
              </w:rPr>
              <w:t>（中国）有限公司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日荣半导体（上海）有限公司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日月光半导体（上海）有限公司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桑迪亚医药技术（上海）有限责任公司（法拉第路）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桑迪亚医药技术（上海）有限责任公司（伽利略路）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149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w:t>
            </w:r>
            <w:proofErr w:type="gramStart"/>
            <w:r w:rsidRPr="004967CB">
              <w:rPr>
                <w:rFonts w:ascii="宋体" w:eastAsia="宋体" w:hAnsi="宋体" w:cs="宋体" w:hint="eastAsia"/>
                <w:kern w:val="0"/>
                <w:sz w:val="20"/>
                <w:szCs w:val="20"/>
              </w:rPr>
              <w:t>宝诚汽车</w:t>
            </w:r>
            <w:proofErr w:type="gramEnd"/>
            <w:r w:rsidRPr="004967CB">
              <w:rPr>
                <w:rFonts w:ascii="宋体" w:eastAsia="宋体" w:hAnsi="宋体" w:cs="宋体" w:hint="eastAsia"/>
                <w:kern w:val="0"/>
                <w:sz w:val="20"/>
                <w:szCs w:val="20"/>
              </w:rPr>
              <w:t>销售服务有限公司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上海皓鸿生物医药科技有限公司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上海皓元医药股份有限公司-1（张衡路）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上海皓元医药股份有限公司-3（蔡伦路）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上海华虹宏力半导体制造有限公司（二厂）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上海华虹宏力半导体制造有限公司（三厂）</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上海华力微电子有限公司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上海集成电路研发中心有限公司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上海纪元微科电子有限公司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上海聚益信息技术</w:t>
            </w:r>
            <w:proofErr w:type="gramEnd"/>
            <w:r w:rsidRPr="004967CB">
              <w:rPr>
                <w:rFonts w:ascii="宋体" w:eastAsia="宋体" w:hAnsi="宋体" w:cs="宋体" w:hint="eastAsia"/>
                <w:kern w:val="0"/>
                <w:sz w:val="20"/>
                <w:szCs w:val="20"/>
              </w:rPr>
              <w:t>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159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上海科技大学</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上海睿智化学研究有限公司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上海希尔彩印制版有限公司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盛美半导体设备（上海）股份有限公司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陶氏化学（中国）投资有限公司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凸版</w:t>
            </w:r>
            <w:proofErr w:type="gramStart"/>
            <w:r w:rsidRPr="004967CB">
              <w:rPr>
                <w:rFonts w:ascii="宋体" w:eastAsia="宋体" w:hAnsi="宋体" w:cs="宋体" w:hint="eastAsia"/>
                <w:kern w:val="0"/>
                <w:sz w:val="20"/>
                <w:szCs w:val="20"/>
              </w:rPr>
              <w:t>中芯彩晶</w:t>
            </w:r>
            <w:proofErr w:type="gramEnd"/>
            <w:r w:rsidRPr="004967CB">
              <w:rPr>
                <w:rFonts w:ascii="宋体" w:eastAsia="宋体" w:hAnsi="宋体" w:cs="宋体" w:hint="eastAsia"/>
                <w:kern w:val="0"/>
                <w:sz w:val="20"/>
                <w:szCs w:val="20"/>
              </w:rPr>
              <w:t>电子（上海）有限公司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中国科学院上海药物研究所</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166</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proofErr w:type="gramStart"/>
            <w:r w:rsidRPr="004967CB">
              <w:rPr>
                <w:rFonts w:ascii="宋体" w:eastAsia="宋体" w:hAnsi="宋体" w:cs="宋体" w:hint="eastAsia"/>
                <w:kern w:val="0"/>
                <w:sz w:val="20"/>
                <w:szCs w:val="20"/>
              </w:rPr>
              <w:t>中芯国际</w:t>
            </w:r>
            <w:proofErr w:type="gramEnd"/>
            <w:r w:rsidRPr="004967CB">
              <w:rPr>
                <w:rFonts w:ascii="宋体" w:eastAsia="宋体" w:hAnsi="宋体" w:cs="宋体" w:hint="eastAsia"/>
                <w:kern w:val="0"/>
                <w:sz w:val="20"/>
                <w:szCs w:val="20"/>
              </w:rPr>
              <w:t>集成电路制造（上海）有限公司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167</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资生堂化妆品制造有限公司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168</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上海菲特尔莫古复合材料有限公司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169</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维亚生物科技（上海）有限公司-紫萍路</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170</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西门子实验系统（上海）有限公司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171</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赫比（上海）家用电器产品有限公司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172</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赫比（上海）金属工业有限公司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173</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立</w:t>
            </w:r>
            <w:proofErr w:type="gramStart"/>
            <w:r w:rsidRPr="004967CB">
              <w:rPr>
                <w:rFonts w:ascii="宋体" w:eastAsia="宋体" w:hAnsi="宋体" w:cs="宋体" w:hint="eastAsia"/>
                <w:kern w:val="0"/>
                <w:sz w:val="20"/>
                <w:szCs w:val="20"/>
              </w:rPr>
              <w:t>邦</w:t>
            </w:r>
            <w:proofErr w:type="gramEnd"/>
            <w:r w:rsidRPr="004967CB">
              <w:rPr>
                <w:rFonts w:ascii="宋体" w:eastAsia="宋体" w:hAnsi="宋体" w:cs="宋体" w:hint="eastAsia"/>
                <w:kern w:val="0"/>
                <w:sz w:val="20"/>
                <w:szCs w:val="20"/>
              </w:rPr>
              <w:t>（上海）化工有限公司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174</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上海环源实业发展有限公司</w:t>
            </w:r>
          </w:p>
        </w:tc>
      </w:tr>
      <w:tr w:rsidR="00DB4A6B" w:rsidRPr="004967CB" w:rsidTr="00F8164F">
        <w:trPr>
          <w:trHeight w:val="20"/>
        </w:trPr>
        <w:tc>
          <w:tcPr>
            <w:tcW w:w="1281" w:type="dxa"/>
            <w:shd w:val="clear" w:color="auto" w:fill="auto"/>
            <w:noWrap/>
            <w:vAlign w:val="center"/>
            <w:hideMark/>
          </w:tcPr>
          <w:p w:rsidR="00DB4A6B" w:rsidRPr="004967CB" w:rsidRDefault="00DB4A6B" w:rsidP="00F8164F">
            <w:pPr>
              <w:widowControl/>
              <w:jc w:val="center"/>
              <w:rPr>
                <w:rFonts w:ascii="宋体" w:eastAsia="宋体" w:hAnsi="宋体" w:cs="宋体"/>
                <w:color w:val="000000"/>
                <w:kern w:val="0"/>
                <w:sz w:val="22"/>
              </w:rPr>
            </w:pPr>
            <w:r w:rsidRPr="004967CB">
              <w:rPr>
                <w:rFonts w:ascii="宋体" w:eastAsia="宋体" w:hAnsi="宋体" w:cs="宋体" w:hint="eastAsia"/>
                <w:color w:val="000000"/>
                <w:kern w:val="0"/>
                <w:sz w:val="22"/>
              </w:rPr>
              <w:t>175</w:t>
            </w:r>
          </w:p>
        </w:tc>
        <w:tc>
          <w:tcPr>
            <w:tcW w:w="7229" w:type="dxa"/>
            <w:shd w:val="clear" w:color="auto" w:fill="auto"/>
            <w:vAlign w:val="center"/>
            <w:hideMark/>
          </w:tcPr>
          <w:p w:rsidR="00DB4A6B" w:rsidRPr="004967CB" w:rsidRDefault="00DB4A6B" w:rsidP="00F8164F">
            <w:pPr>
              <w:widowControl/>
              <w:jc w:val="center"/>
              <w:rPr>
                <w:rFonts w:ascii="宋体" w:eastAsia="宋体" w:hAnsi="宋体" w:cs="宋体"/>
                <w:kern w:val="0"/>
                <w:sz w:val="20"/>
                <w:szCs w:val="20"/>
              </w:rPr>
            </w:pPr>
            <w:r w:rsidRPr="004967CB">
              <w:rPr>
                <w:rFonts w:ascii="宋体" w:eastAsia="宋体" w:hAnsi="宋体" w:cs="宋体" w:hint="eastAsia"/>
                <w:kern w:val="0"/>
                <w:sz w:val="20"/>
                <w:szCs w:val="20"/>
              </w:rPr>
              <w:t>伊顿上飞（上海）航空管路制造有限公司</w:t>
            </w:r>
          </w:p>
        </w:tc>
      </w:tr>
    </w:tbl>
    <w:p w:rsidR="00491441" w:rsidRPr="00DB4A6B" w:rsidRDefault="00491441" w:rsidP="00E63B37">
      <w:pPr>
        <w:jc w:val="left"/>
        <w:rPr>
          <w:rFonts w:ascii="仿宋_GB2312" w:eastAsia="仿宋_GB2312" w:hAnsi="仿宋_GB2312" w:cs="仿宋_GB2312"/>
          <w:sz w:val="32"/>
          <w:szCs w:val="32"/>
        </w:rPr>
      </w:pPr>
    </w:p>
    <w:p w:rsidR="00E63B37" w:rsidRPr="00E63B37" w:rsidRDefault="00E63B37" w:rsidP="00E63B37">
      <w:pPr>
        <w:jc w:val="left"/>
        <w:rPr>
          <w:rFonts w:ascii="仿宋_GB2312" w:eastAsia="仿宋_GB2312" w:hAnsi="仿宋_GB2312" w:cs="仿宋_GB2312"/>
          <w:b/>
          <w:sz w:val="32"/>
          <w:szCs w:val="32"/>
        </w:rPr>
      </w:pPr>
      <w:r w:rsidRPr="00E63B37">
        <w:rPr>
          <w:rFonts w:ascii="仿宋_GB2312" w:eastAsia="仿宋_GB2312" w:hAnsi="仿宋_GB2312" w:cs="仿宋_GB2312" w:hint="eastAsia"/>
          <w:b/>
          <w:sz w:val="32"/>
          <w:szCs w:val="32"/>
        </w:rPr>
        <w:t>二、2024年最低责任限额计算方法</w:t>
      </w:r>
    </w:p>
    <w:p w:rsidR="00E63B37" w:rsidRPr="00E2212D" w:rsidRDefault="00E63B37" w:rsidP="00E63B37">
      <w:pPr>
        <w:ind w:firstLineChars="200" w:firstLine="618"/>
        <w:rPr>
          <w:rFonts w:ascii="仿宋" w:eastAsia="仿宋" w:hAnsi="仿宋"/>
          <w:b/>
          <w:spacing w:val="-6"/>
          <w:sz w:val="32"/>
          <w:szCs w:val="28"/>
        </w:rPr>
      </w:pPr>
      <w:r w:rsidRPr="00E2212D">
        <w:rPr>
          <w:rFonts w:ascii="仿宋" w:eastAsia="仿宋" w:hAnsi="仿宋"/>
          <w:b/>
          <w:spacing w:val="-6"/>
          <w:sz w:val="32"/>
          <w:szCs w:val="28"/>
        </w:rPr>
        <w:t>最低责任限额＝累计责任限额×调整系数</w:t>
      </w:r>
    </w:p>
    <w:p w:rsidR="00E63B37" w:rsidRPr="00E2212D" w:rsidRDefault="00E63B37" w:rsidP="00E63B37">
      <w:pPr>
        <w:ind w:firstLineChars="200" w:firstLine="600"/>
        <w:rPr>
          <w:rFonts w:ascii="仿宋" w:eastAsia="仿宋" w:hAnsi="仿宋"/>
          <w:sz w:val="30"/>
          <w:szCs w:val="30"/>
        </w:rPr>
      </w:pPr>
      <w:r w:rsidRPr="00E2212D">
        <w:rPr>
          <w:rFonts w:ascii="仿宋" w:eastAsia="仿宋" w:hAnsi="仿宋"/>
          <w:sz w:val="30"/>
          <w:szCs w:val="30"/>
        </w:rPr>
        <w:t>累计责任限额＝水环境污染责任投保最低累计限额+大气环</w:t>
      </w:r>
      <w:r w:rsidRPr="00E2212D">
        <w:rPr>
          <w:rFonts w:ascii="仿宋" w:eastAsia="仿宋" w:hAnsi="仿宋"/>
          <w:sz w:val="30"/>
          <w:szCs w:val="30"/>
        </w:rPr>
        <w:lastRenderedPageBreak/>
        <w:t>境污染责任投保最低累计限额+土壤环境污染责任投保最低累计限额</w:t>
      </w:r>
    </w:p>
    <w:p w:rsidR="00E63B37" w:rsidRPr="009013FE" w:rsidRDefault="00E63B37" w:rsidP="00E63B37">
      <w:pPr>
        <w:spacing w:line="360" w:lineRule="auto"/>
        <w:jc w:val="center"/>
        <w:rPr>
          <w:rFonts w:ascii="Times New Roman" w:eastAsia="宋体" w:hAnsi="Times New Roman" w:cs="Times New Roman"/>
          <w:b/>
          <w:sz w:val="24"/>
          <w:szCs w:val="24"/>
        </w:rPr>
      </w:pPr>
      <w:r w:rsidRPr="009013FE">
        <w:rPr>
          <w:rFonts w:ascii="Times New Roman" w:eastAsia="宋体" w:hAnsi="Times New Roman" w:cs="Times New Roman"/>
          <w:b/>
          <w:sz w:val="24"/>
          <w:szCs w:val="24"/>
        </w:rPr>
        <w:t>表</w:t>
      </w:r>
      <w:r w:rsidRPr="009013FE">
        <w:rPr>
          <w:rFonts w:ascii="Times New Roman" w:eastAsia="宋体" w:hAnsi="Times New Roman" w:cs="Times New Roman"/>
          <w:b/>
          <w:sz w:val="24"/>
          <w:szCs w:val="24"/>
        </w:rPr>
        <w:t xml:space="preserve">1  </w:t>
      </w:r>
      <w:r w:rsidRPr="009013FE">
        <w:rPr>
          <w:rFonts w:ascii="Times New Roman" w:eastAsia="宋体" w:hAnsi="Times New Roman" w:cs="Times New Roman"/>
          <w:b/>
          <w:sz w:val="24"/>
          <w:szCs w:val="24"/>
        </w:rPr>
        <w:t>水环境污染责任投保最低累计限额档次分级</w:t>
      </w:r>
    </w:p>
    <w:tbl>
      <w:tblPr>
        <w:tblStyle w:val="1"/>
        <w:tblW w:w="5000" w:type="pct"/>
        <w:tblLook w:val="04A0" w:firstRow="1" w:lastRow="0" w:firstColumn="1" w:lastColumn="0" w:noHBand="0" w:noVBand="1"/>
      </w:tblPr>
      <w:tblGrid>
        <w:gridCol w:w="2910"/>
        <w:gridCol w:w="1871"/>
        <w:gridCol w:w="1871"/>
        <w:gridCol w:w="1870"/>
      </w:tblGrid>
      <w:tr w:rsidR="00E63B37" w:rsidRPr="00E63B37" w:rsidTr="00193344">
        <w:trPr>
          <w:trHeight w:val="567"/>
        </w:trPr>
        <w:tc>
          <w:tcPr>
            <w:tcW w:w="1707"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水环境事件风险等级</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
                <w:bCs/>
                <w:szCs w:val="21"/>
              </w:rPr>
            </w:pPr>
            <w:r w:rsidRPr="00E63B37">
              <w:rPr>
                <w:rFonts w:ascii="Times New Roman" w:eastAsia="宋体" w:hAnsi="Times New Roman" w:cs="Times New Roman"/>
                <w:b/>
                <w:bCs/>
                <w:szCs w:val="21"/>
              </w:rPr>
              <w:t>一般</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
                <w:bCs/>
                <w:szCs w:val="21"/>
              </w:rPr>
            </w:pPr>
            <w:r w:rsidRPr="00E63B37">
              <w:rPr>
                <w:rFonts w:ascii="Times New Roman" w:eastAsia="宋体" w:hAnsi="Times New Roman" w:cs="Times New Roman"/>
                <w:b/>
                <w:bCs/>
                <w:szCs w:val="21"/>
              </w:rPr>
              <w:t>较大</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
                <w:bCs/>
                <w:szCs w:val="21"/>
              </w:rPr>
            </w:pPr>
            <w:r w:rsidRPr="00E63B37">
              <w:rPr>
                <w:rFonts w:ascii="Times New Roman" w:eastAsia="宋体" w:hAnsi="Times New Roman" w:cs="Times New Roman"/>
                <w:b/>
                <w:bCs/>
                <w:szCs w:val="21"/>
              </w:rPr>
              <w:t>重大</w:t>
            </w:r>
          </w:p>
        </w:tc>
      </w:tr>
      <w:tr w:rsidR="00E63B37" w:rsidRPr="00E63B37" w:rsidTr="00193344">
        <w:trPr>
          <w:trHeight w:val="567"/>
        </w:trPr>
        <w:tc>
          <w:tcPr>
            <w:tcW w:w="1707"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限额（万元）</w:t>
            </w:r>
          </w:p>
        </w:tc>
        <w:tc>
          <w:tcPr>
            <w:tcW w:w="1098" w:type="pct"/>
            <w:vAlign w:val="center"/>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30</w:t>
            </w:r>
          </w:p>
        </w:tc>
        <w:tc>
          <w:tcPr>
            <w:tcW w:w="1098" w:type="pct"/>
            <w:vAlign w:val="center"/>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100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200</w:t>
            </w:r>
          </w:p>
        </w:tc>
      </w:tr>
    </w:tbl>
    <w:p w:rsidR="00E63B37" w:rsidRPr="00E63B37" w:rsidRDefault="00E63B37" w:rsidP="00E63B37">
      <w:pPr>
        <w:spacing w:line="360" w:lineRule="auto"/>
        <w:jc w:val="center"/>
        <w:rPr>
          <w:rFonts w:ascii="Times New Roman" w:eastAsia="宋体" w:hAnsi="Times New Roman" w:cs="Times New Roman"/>
          <w:b/>
          <w:sz w:val="24"/>
          <w:szCs w:val="24"/>
        </w:rPr>
      </w:pPr>
    </w:p>
    <w:tbl>
      <w:tblPr>
        <w:tblStyle w:val="1"/>
        <w:tblW w:w="5000" w:type="pct"/>
        <w:tblLook w:val="04A0" w:firstRow="1" w:lastRow="0" w:firstColumn="1" w:lastColumn="0" w:noHBand="0" w:noVBand="1"/>
      </w:tblPr>
      <w:tblGrid>
        <w:gridCol w:w="2909"/>
        <w:gridCol w:w="1871"/>
        <w:gridCol w:w="1871"/>
        <w:gridCol w:w="1871"/>
      </w:tblGrid>
      <w:tr w:rsidR="00E63B37" w:rsidRPr="00E63B37" w:rsidTr="00193344">
        <w:trPr>
          <w:trHeight w:val="567"/>
        </w:trPr>
        <w:tc>
          <w:tcPr>
            <w:tcW w:w="1706" w:type="pct"/>
            <w:vAlign w:val="center"/>
            <w:hideMark/>
          </w:tcPr>
          <w:p w:rsidR="00E63B37" w:rsidRPr="00E63B37" w:rsidRDefault="00E63B37" w:rsidP="005B1F15">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废水排放量（吨</w:t>
            </w:r>
            <w:r w:rsidRPr="00E63B37">
              <w:rPr>
                <w:rFonts w:ascii="Times New Roman" w:eastAsia="宋体" w:hAnsi="Times New Roman" w:cs="Times New Roman"/>
                <w:b/>
                <w:bCs/>
                <w:szCs w:val="21"/>
              </w:rPr>
              <w:t>/</w:t>
            </w:r>
            <w:r w:rsidRPr="00E63B37">
              <w:rPr>
                <w:rFonts w:ascii="Times New Roman" w:eastAsia="宋体" w:hAnsi="Times New Roman" w:cs="Times New Roman"/>
                <w:b/>
                <w:bCs/>
                <w:szCs w:val="21"/>
              </w:rPr>
              <w:t>日）</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0&lt;</w:t>
            </w:r>
            <w:proofErr w:type="spellStart"/>
            <w:r w:rsidRPr="00E63B37">
              <w:rPr>
                <w:rFonts w:ascii="Times New Roman" w:eastAsia="宋体" w:hAnsi="Times New Roman" w:cs="Times New Roman"/>
                <w:bCs/>
                <w:szCs w:val="21"/>
              </w:rPr>
              <w:t>Qe</w:t>
            </w:r>
            <w:proofErr w:type="spellEnd"/>
            <w:r w:rsidRPr="00E63B37">
              <w:rPr>
                <w:rFonts w:ascii="Times New Roman" w:eastAsia="宋体" w:hAnsi="Times New Roman" w:cs="Times New Roman"/>
                <w:bCs/>
                <w:szCs w:val="21"/>
              </w:rPr>
              <w:t>&lt;50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50≤Qe&lt;1000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1000≤Qe</w:t>
            </w:r>
          </w:p>
        </w:tc>
      </w:tr>
      <w:tr w:rsidR="00E63B37" w:rsidRPr="00E63B37" w:rsidTr="00193344">
        <w:trPr>
          <w:trHeight w:val="567"/>
        </w:trPr>
        <w:tc>
          <w:tcPr>
            <w:tcW w:w="1706"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限额（万元）</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40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80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100</w:t>
            </w:r>
          </w:p>
        </w:tc>
      </w:tr>
    </w:tbl>
    <w:p w:rsidR="00E63B37" w:rsidRPr="00E63B37" w:rsidRDefault="00E63B37" w:rsidP="00E63B37">
      <w:pPr>
        <w:spacing w:line="360" w:lineRule="auto"/>
        <w:ind w:firstLineChars="196" w:firstLine="472"/>
        <w:rPr>
          <w:rFonts w:ascii="Times New Roman" w:eastAsia="宋体" w:hAnsi="Times New Roman" w:cs="Times New Roman"/>
          <w:b/>
          <w:sz w:val="24"/>
          <w:szCs w:val="24"/>
        </w:rPr>
      </w:pPr>
      <w:r w:rsidRPr="00E63B37">
        <w:rPr>
          <w:rFonts w:ascii="Times New Roman" w:eastAsia="宋体" w:hAnsi="Times New Roman" w:cs="Times New Roman" w:hint="eastAsia"/>
          <w:b/>
          <w:sz w:val="24"/>
          <w:szCs w:val="24"/>
        </w:rPr>
        <w:t>以上两项累计计算。</w:t>
      </w:r>
    </w:p>
    <w:p w:rsidR="00E63B37" w:rsidRPr="00E63B37" w:rsidRDefault="00E63B37" w:rsidP="00E63B37">
      <w:pPr>
        <w:spacing w:line="360" w:lineRule="auto"/>
        <w:jc w:val="center"/>
        <w:rPr>
          <w:rFonts w:ascii="Times New Roman" w:eastAsia="宋体" w:hAnsi="Times New Roman" w:cs="Times New Roman"/>
          <w:b/>
          <w:sz w:val="24"/>
          <w:szCs w:val="24"/>
        </w:rPr>
      </w:pPr>
      <w:r w:rsidRPr="00E63B37">
        <w:rPr>
          <w:rFonts w:ascii="Times New Roman" w:eastAsia="宋体" w:hAnsi="Times New Roman" w:cs="Times New Roman"/>
          <w:b/>
          <w:sz w:val="24"/>
          <w:szCs w:val="24"/>
        </w:rPr>
        <w:t>表</w:t>
      </w:r>
      <w:r w:rsidRPr="00E63B37">
        <w:rPr>
          <w:rFonts w:ascii="Times New Roman" w:eastAsia="宋体" w:hAnsi="Times New Roman" w:cs="Times New Roman"/>
          <w:b/>
          <w:sz w:val="24"/>
          <w:szCs w:val="24"/>
        </w:rPr>
        <w:t xml:space="preserve">2  </w:t>
      </w:r>
      <w:r w:rsidRPr="00E63B37">
        <w:rPr>
          <w:rFonts w:ascii="Times New Roman" w:eastAsia="宋体" w:hAnsi="Times New Roman" w:cs="Times New Roman"/>
          <w:b/>
          <w:sz w:val="24"/>
          <w:szCs w:val="24"/>
        </w:rPr>
        <w:t>大气环境污染责任投保最低累计限额档次分级</w:t>
      </w:r>
    </w:p>
    <w:tbl>
      <w:tblPr>
        <w:tblStyle w:val="1"/>
        <w:tblW w:w="5000" w:type="pct"/>
        <w:tblLook w:val="04A0" w:firstRow="1" w:lastRow="0" w:firstColumn="1" w:lastColumn="0" w:noHBand="0" w:noVBand="1"/>
      </w:tblPr>
      <w:tblGrid>
        <w:gridCol w:w="2909"/>
        <w:gridCol w:w="1871"/>
        <w:gridCol w:w="1871"/>
        <w:gridCol w:w="1871"/>
      </w:tblGrid>
      <w:tr w:rsidR="00E63B37" w:rsidRPr="00E63B37" w:rsidTr="00193344">
        <w:trPr>
          <w:trHeight w:val="567"/>
        </w:trPr>
        <w:tc>
          <w:tcPr>
            <w:tcW w:w="1706"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大气环境事件风险等级</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szCs w:val="21"/>
              </w:rPr>
            </w:pPr>
            <w:r w:rsidRPr="00E63B37">
              <w:rPr>
                <w:rFonts w:ascii="Times New Roman" w:eastAsia="宋体" w:hAnsi="Times New Roman" w:cs="Times New Roman"/>
                <w:b/>
                <w:bCs/>
                <w:szCs w:val="21"/>
              </w:rPr>
              <w:t>一般</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szCs w:val="21"/>
              </w:rPr>
            </w:pPr>
            <w:r w:rsidRPr="00E63B37">
              <w:rPr>
                <w:rFonts w:ascii="Times New Roman" w:eastAsia="宋体" w:hAnsi="Times New Roman" w:cs="Times New Roman"/>
                <w:b/>
                <w:bCs/>
                <w:szCs w:val="21"/>
              </w:rPr>
              <w:t>较大</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szCs w:val="21"/>
              </w:rPr>
            </w:pPr>
            <w:r w:rsidRPr="00E63B37">
              <w:rPr>
                <w:rFonts w:ascii="Times New Roman" w:eastAsia="宋体" w:hAnsi="Times New Roman" w:cs="Times New Roman"/>
                <w:b/>
                <w:bCs/>
                <w:szCs w:val="21"/>
              </w:rPr>
              <w:t>重大</w:t>
            </w:r>
          </w:p>
        </w:tc>
      </w:tr>
      <w:tr w:rsidR="00E63B37" w:rsidRPr="00E63B37" w:rsidTr="00193344">
        <w:trPr>
          <w:trHeight w:val="567"/>
        </w:trPr>
        <w:tc>
          <w:tcPr>
            <w:tcW w:w="1706"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
                <w:bCs/>
                <w:szCs w:val="21"/>
              </w:rPr>
              <w:t>限额（万元）</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50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hint="eastAsia"/>
                <w:bCs/>
                <w:szCs w:val="21"/>
              </w:rPr>
              <w:t>15</w:t>
            </w:r>
            <w:r w:rsidRPr="00E63B37">
              <w:rPr>
                <w:rFonts w:ascii="Times New Roman" w:eastAsia="宋体" w:hAnsi="Times New Roman" w:cs="Times New Roman"/>
                <w:bCs/>
                <w:szCs w:val="21"/>
              </w:rPr>
              <w:t>0</w:t>
            </w:r>
          </w:p>
        </w:tc>
        <w:tc>
          <w:tcPr>
            <w:tcW w:w="1098" w:type="pct"/>
            <w:vAlign w:val="center"/>
            <w:hideMark/>
          </w:tcPr>
          <w:p w:rsidR="00E63B37" w:rsidRPr="00E63B37" w:rsidRDefault="00E63B37" w:rsidP="00193344">
            <w:pPr>
              <w:spacing w:line="360" w:lineRule="auto"/>
              <w:jc w:val="center"/>
              <w:rPr>
                <w:rFonts w:ascii="Times New Roman" w:eastAsia="宋体" w:hAnsi="Times New Roman" w:cs="Times New Roman"/>
                <w:bCs/>
                <w:szCs w:val="21"/>
              </w:rPr>
            </w:pPr>
            <w:r w:rsidRPr="00E63B37">
              <w:rPr>
                <w:rFonts w:ascii="Times New Roman" w:eastAsia="宋体" w:hAnsi="Times New Roman" w:cs="Times New Roman"/>
                <w:bCs/>
                <w:szCs w:val="21"/>
              </w:rPr>
              <w:t>400</w:t>
            </w:r>
          </w:p>
        </w:tc>
      </w:tr>
    </w:tbl>
    <w:p w:rsidR="00E63B37" w:rsidRPr="00E63B37" w:rsidRDefault="00E63B37" w:rsidP="00E63B37">
      <w:pPr>
        <w:spacing w:line="360" w:lineRule="auto"/>
        <w:jc w:val="center"/>
        <w:rPr>
          <w:rFonts w:ascii="Times New Roman" w:eastAsia="宋体" w:hAnsi="Times New Roman" w:cs="Times New Roman"/>
          <w:b/>
          <w:sz w:val="24"/>
          <w:szCs w:val="24"/>
        </w:rPr>
      </w:pPr>
      <w:r w:rsidRPr="00E63B37">
        <w:rPr>
          <w:rFonts w:ascii="Times New Roman" w:eastAsia="宋体" w:hAnsi="Times New Roman" w:cs="Times New Roman"/>
          <w:b/>
          <w:sz w:val="24"/>
          <w:szCs w:val="24"/>
        </w:rPr>
        <w:t>表</w:t>
      </w:r>
      <w:r w:rsidRPr="00E63B37">
        <w:rPr>
          <w:rFonts w:ascii="Times New Roman" w:eastAsia="宋体" w:hAnsi="Times New Roman" w:cs="Times New Roman"/>
          <w:b/>
          <w:sz w:val="24"/>
          <w:szCs w:val="24"/>
        </w:rPr>
        <w:t xml:space="preserve">3  </w:t>
      </w:r>
      <w:r w:rsidRPr="00E63B37">
        <w:rPr>
          <w:rFonts w:ascii="Times New Roman" w:eastAsia="宋体" w:hAnsi="Times New Roman" w:cs="Times New Roman"/>
          <w:b/>
          <w:sz w:val="24"/>
          <w:szCs w:val="24"/>
        </w:rPr>
        <w:t>土壤环境污染责任投保最低累计限额档次分级</w:t>
      </w:r>
    </w:p>
    <w:tbl>
      <w:tblPr>
        <w:tblStyle w:val="1"/>
        <w:tblW w:w="5000" w:type="pct"/>
        <w:tblLook w:val="04A0" w:firstRow="1" w:lastRow="0" w:firstColumn="1" w:lastColumn="0" w:noHBand="0" w:noVBand="1"/>
      </w:tblPr>
      <w:tblGrid>
        <w:gridCol w:w="2910"/>
        <w:gridCol w:w="1871"/>
        <w:gridCol w:w="1871"/>
        <w:gridCol w:w="1870"/>
      </w:tblGrid>
      <w:tr w:rsidR="00E63B37" w:rsidRPr="00E63B37" w:rsidTr="00193344">
        <w:trPr>
          <w:trHeight w:val="672"/>
        </w:trPr>
        <w:tc>
          <w:tcPr>
            <w:tcW w:w="1707" w:type="pct"/>
            <w:vAlign w:val="center"/>
            <w:hideMark/>
          </w:tcPr>
          <w:p w:rsidR="00E63B37" w:rsidRPr="00E63B37" w:rsidRDefault="00E63B37" w:rsidP="00193344">
            <w:pPr>
              <w:jc w:val="center"/>
              <w:rPr>
                <w:rFonts w:ascii="Times New Roman" w:eastAsia="宋体" w:hAnsi="Times New Roman" w:cs="Times New Roman"/>
                <w:bCs/>
                <w:szCs w:val="21"/>
              </w:rPr>
            </w:pPr>
            <w:proofErr w:type="gramStart"/>
            <w:r w:rsidRPr="00E63B37">
              <w:rPr>
                <w:rFonts w:ascii="Times New Roman" w:eastAsia="宋体" w:hAnsi="Times New Roman" w:cs="Times New Roman"/>
                <w:b/>
                <w:bCs/>
                <w:szCs w:val="21"/>
              </w:rPr>
              <w:t>涉土风险</w:t>
            </w:r>
            <w:proofErr w:type="gramEnd"/>
            <w:r w:rsidRPr="00E63B37">
              <w:rPr>
                <w:rFonts w:ascii="Times New Roman" w:eastAsia="宋体" w:hAnsi="Times New Roman" w:cs="Times New Roman"/>
                <w:b/>
                <w:bCs/>
                <w:szCs w:val="21"/>
              </w:rPr>
              <w:t>物质厂界内最大存在量（吨）</w:t>
            </w:r>
          </w:p>
        </w:tc>
        <w:tc>
          <w:tcPr>
            <w:tcW w:w="1098" w:type="pct"/>
            <w:vAlign w:val="center"/>
            <w:hideMark/>
          </w:tcPr>
          <w:p w:rsidR="00E63B37" w:rsidRPr="00E63B37" w:rsidRDefault="00E63B37" w:rsidP="00193344">
            <w:pPr>
              <w:jc w:val="center"/>
              <w:rPr>
                <w:rFonts w:ascii="Times New Roman" w:eastAsia="宋体" w:hAnsi="Times New Roman" w:cs="Times New Roman"/>
                <w:szCs w:val="21"/>
              </w:rPr>
            </w:pPr>
            <w:r w:rsidRPr="00E63B37">
              <w:rPr>
                <w:rFonts w:ascii="Times New Roman" w:eastAsia="宋体" w:hAnsi="Times New Roman" w:cs="Times New Roman"/>
                <w:szCs w:val="21"/>
              </w:rPr>
              <w:t>0&lt;Qs&lt;10</w:t>
            </w:r>
          </w:p>
        </w:tc>
        <w:tc>
          <w:tcPr>
            <w:tcW w:w="1098" w:type="pct"/>
            <w:vAlign w:val="center"/>
            <w:hideMark/>
          </w:tcPr>
          <w:p w:rsidR="00E63B37" w:rsidRPr="00E63B37" w:rsidRDefault="00E63B37" w:rsidP="00193344">
            <w:pPr>
              <w:jc w:val="center"/>
              <w:rPr>
                <w:rFonts w:ascii="Times New Roman" w:eastAsia="宋体" w:hAnsi="Times New Roman" w:cs="Times New Roman"/>
                <w:szCs w:val="21"/>
              </w:rPr>
            </w:pPr>
            <w:r w:rsidRPr="00E63B37">
              <w:rPr>
                <w:rFonts w:ascii="Times New Roman" w:eastAsia="宋体" w:hAnsi="Times New Roman" w:cs="Times New Roman"/>
                <w:szCs w:val="21"/>
              </w:rPr>
              <w:t>10≤Qs&lt;</w:t>
            </w:r>
            <w:r w:rsidRPr="00E63B37">
              <w:rPr>
                <w:rFonts w:ascii="Times New Roman" w:eastAsia="宋体" w:hAnsi="Times New Roman" w:cs="Times New Roman" w:hint="eastAsia"/>
                <w:szCs w:val="21"/>
              </w:rPr>
              <w:t>10</w:t>
            </w:r>
            <w:r w:rsidRPr="00E63B37">
              <w:rPr>
                <w:rFonts w:ascii="Times New Roman" w:eastAsia="宋体" w:hAnsi="Times New Roman" w:cs="Times New Roman"/>
                <w:szCs w:val="21"/>
              </w:rPr>
              <w:t>0</w:t>
            </w:r>
          </w:p>
        </w:tc>
        <w:tc>
          <w:tcPr>
            <w:tcW w:w="1098" w:type="pct"/>
            <w:vAlign w:val="center"/>
            <w:hideMark/>
          </w:tcPr>
          <w:p w:rsidR="00E63B37" w:rsidRPr="00E63B37" w:rsidRDefault="00E63B37" w:rsidP="00193344">
            <w:pPr>
              <w:jc w:val="center"/>
              <w:rPr>
                <w:rFonts w:ascii="Times New Roman" w:eastAsia="宋体" w:hAnsi="Times New Roman" w:cs="Times New Roman"/>
                <w:szCs w:val="21"/>
              </w:rPr>
            </w:pPr>
            <w:r w:rsidRPr="00E63B37">
              <w:rPr>
                <w:rFonts w:ascii="Times New Roman" w:eastAsia="宋体" w:hAnsi="Times New Roman" w:cs="Times New Roman" w:hint="eastAsia"/>
                <w:szCs w:val="21"/>
              </w:rPr>
              <w:t>10</w:t>
            </w:r>
            <w:r w:rsidRPr="00E63B37">
              <w:rPr>
                <w:rFonts w:ascii="Times New Roman" w:eastAsia="宋体" w:hAnsi="Times New Roman" w:cs="Times New Roman"/>
                <w:szCs w:val="21"/>
              </w:rPr>
              <w:t>0≤Qs</w:t>
            </w:r>
          </w:p>
        </w:tc>
      </w:tr>
      <w:tr w:rsidR="00E63B37" w:rsidRPr="00E63B37" w:rsidTr="00193344">
        <w:trPr>
          <w:trHeight w:val="567"/>
        </w:trPr>
        <w:tc>
          <w:tcPr>
            <w:tcW w:w="1707" w:type="pct"/>
            <w:vAlign w:val="center"/>
            <w:hideMark/>
          </w:tcPr>
          <w:p w:rsidR="00E63B37" w:rsidRPr="00E63B37" w:rsidRDefault="00E63B37" w:rsidP="00193344">
            <w:pPr>
              <w:jc w:val="center"/>
              <w:rPr>
                <w:rFonts w:ascii="Times New Roman" w:eastAsia="宋体" w:hAnsi="Times New Roman" w:cs="Times New Roman"/>
                <w:bCs/>
                <w:szCs w:val="21"/>
              </w:rPr>
            </w:pPr>
            <w:r w:rsidRPr="00E63B37">
              <w:rPr>
                <w:rFonts w:ascii="Times New Roman" w:eastAsia="宋体" w:hAnsi="Times New Roman" w:cs="Times New Roman"/>
                <w:b/>
                <w:bCs/>
                <w:szCs w:val="21"/>
              </w:rPr>
              <w:t>限额（万元）</w:t>
            </w:r>
          </w:p>
        </w:tc>
        <w:tc>
          <w:tcPr>
            <w:tcW w:w="1098" w:type="pct"/>
            <w:vAlign w:val="center"/>
            <w:hideMark/>
          </w:tcPr>
          <w:p w:rsidR="00E63B37" w:rsidRPr="00E63B37" w:rsidRDefault="00E63B37" w:rsidP="00193344">
            <w:pPr>
              <w:jc w:val="center"/>
              <w:rPr>
                <w:rFonts w:ascii="Times New Roman" w:eastAsia="宋体" w:hAnsi="Times New Roman" w:cs="Times New Roman"/>
                <w:bCs/>
                <w:szCs w:val="21"/>
              </w:rPr>
            </w:pPr>
            <w:r w:rsidRPr="00E63B37">
              <w:rPr>
                <w:rFonts w:ascii="Times New Roman" w:eastAsia="宋体" w:hAnsi="Times New Roman" w:cs="Times New Roman"/>
                <w:bCs/>
                <w:szCs w:val="21"/>
              </w:rPr>
              <w:t>30</w:t>
            </w:r>
          </w:p>
        </w:tc>
        <w:tc>
          <w:tcPr>
            <w:tcW w:w="1098" w:type="pct"/>
            <w:vAlign w:val="center"/>
            <w:hideMark/>
          </w:tcPr>
          <w:p w:rsidR="00E63B37" w:rsidRPr="00E63B37" w:rsidRDefault="00E63B37" w:rsidP="00193344">
            <w:pPr>
              <w:jc w:val="center"/>
              <w:rPr>
                <w:rFonts w:ascii="Times New Roman" w:eastAsia="宋体" w:hAnsi="Times New Roman" w:cs="Times New Roman"/>
                <w:bCs/>
                <w:szCs w:val="21"/>
              </w:rPr>
            </w:pPr>
            <w:r w:rsidRPr="00E63B37">
              <w:rPr>
                <w:rFonts w:ascii="Times New Roman" w:eastAsia="宋体" w:hAnsi="Times New Roman" w:cs="Times New Roman" w:hint="eastAsia"/>
                <w:bCs/>
                <w:szCs w:val="21"/>
              </w:rPr>
              <w:t>10</w:t>
            </w:r>
            <w:r w:rsidRPr="00E63B37">
              <w:rPr>
                <w:rFonts w:ascii="Times New Roman" w:eastAsia="宋体" w:hAnsi="Times New Roman" w:cs="Times New Roman"/>
                <w:bCs/>
                <w:szCs w:val="21"/>
              </w:rPr>
              <w:t>0</w:t>
            </w:r>
          </w:p>
        </w:tc>
        <w:tc>
          <w:tcPr>
            <w:tcW w:w="1098" w:type="pct"/>
            <w:vAlign w:val="center"/>
            <w:hideMark/>
          </w:tcPr>
          <w:p w:rsidR="00E63B37" w:rsidRPr="00E63B37" w:rsidRDefault="00E63B37" w:rsidP="00193344">
            <w:pPr>
              <w:jc w:val="center"/>
              <w:rPr>
                <w:rFonts w:ascii="Times New Roman" w:eastAsia="宋体" w:hAnsi="Times New Roman" w:cs="Times New Roman"/>
                <w:bCs/>
                <w:szCs w:val="21"/>
              </w:rPr>
            </w:pPr>
            <w:r w:rsidRPr="00E63B37">
              <w:rPr>
                <w:rFonts w:ascii="Times New Roman" w:eastAsia="宋体" w:hAnsi="Times New Roman" w:cs="Times New Roman" w:hint="eastAsia"/>
                <w:bCs/>
                <w:szCs w:val="21"/>
              </w:rPr>
              <w:t>30</w:t>
            </w:r>
            <w:r w:rsidRPr="00E63B37">
              <w:rPr>
                <w:rFonts w:ascii="Times New Roman" w:eastAsia="宋体" w:hAnsi="Times New Roman" w:cs="Times New Roman"/>
                <w:bCs/>
                <w:szCs w:val="21"/>
              </w:rPr>
              <w:t>0</w:t>
            </w:r>
          </w:p>
        </w:tc>
      </w:tr>
    </w:tbl>
    <w:p w:rsidR="00E63B37" w:rsidRPr="00E63B37" w:rsidRDefault="00E63B37" w:rsidP="00E63B37">
      <w:pPr>
        <w:spacing w:line="360" w:lineRule="auto"/>
        <w:ind w:firstLineChars="200" w:firstLine="480"/>
        <w:rPr>
          <w:rFonts w:ascii="Times New Roman" w:eastAsia="宋体" w:hAnsi="Times New Roman" w:cs="Times New Roman"/>
          <w:sz w:val="24"/>
          <w:szCs w:val="24"/>
        </w:rPr>
      </w:pPr>
    </w:p>
    <w:p w:rsidR="00E2212D" w:rsidRPr="00D74E7B" w:rsidRDefault="00E63B37" w:rsidP="00E2212D">
      <w:pPr>
        <w:tabs>
          <w:tab w:val="num" w:pos="720"/>
        </w:tabs>
        <w:spacing w:line="360" w:lineRule="auto"/>
        <w:ind w:firstLineChars="200" w:firstLine="480"/>
        <w:rPr>
          <w:rFonts w:ascii="Times New Roman" w:eastAsia="宋体" w:hAnsi="Times New Roman" w:cs="Times New Roman"/>
          <w:sz w:val="24"/>
          <w:szCs w:val="24"/>
        </w:rPr>
      </w:pPr>
      <w:bookmarkStart w:id="0" w:name="_GoBack"/>
      <w:r w:rsidRPr="00D74E7B">
        <w:rPr>
          <w:rFonts w:ascii="Times New Roman" w:eastAsia="宋体" w:hAnsi="Times New Roman" w:cs="Times New Roman"/>
          <w:sz w:val="24"/>
          <w:szCs w:val="24"/>
        </w:rPr>
        <w:t>注：</w:t>
      </w:r>
      <w:r w:rsidR="00E2212D" w:rsidRPr="00D74E7B">
        <w:rPr>
          <w:rFonts w:ascii="宋体" w:eastAsia="宋体" w:hAnsi="宋体" w:cs="Times New Roman" w:hint="eastAsia"/>
          <w:sz w:val="24"/>
          <w:szCs w:val="24"/>
        </w:rPr>
        <w:t>①</w:t>
      </w:r>
      <w:r w:rsidR="00E2212D" w:rsidRPr="00D74E7B">
        <w:rPr>
          <w:rFonts w:ascii="Times New Roman" w:hAnsi="Times New Roman" w:cs="Times New Roman" w:hint="eastAsia"/>
          <w:sz w:val="24"/>
          <w:szCs w:val="24"/>
        </w:rPr>
        <w:t>水环境事件风险等级、大气环境事件风险等级：依据投保单位突发环境事件应急预案确定。</w:t>
      </w:r>
      <w:r w:rsidR="00E2212D" w:rsidRPr="00D74E7B">
        <w:rPr>
          <w:rFonts w:asciiTheme="minorEastAsia" w:hAnsiTheme="minorEastAsia" w:cs="Times New Roman" w:hint="eastAsia"/>
          <w:sz w:val="24"/>
          <w:szCs w:val="24"/>
        </w:rPr>
        <w:t>②</w:t>
      </w:r>
      <w:r w:rsidR="00E2212D" w:rsidRPr="00D74E7B">
        <w:rPr>
          <w:rFonts w:ascii="Times New Roman" w:eastAsia="宋体" w:hAnsi="Times New Roman" w:cs="Times New Roman" w:hint="eastAsia"/>
          <w:sz w:val="24"/>
          <w:szCs w:val="24"/>
        </w:rPr>
        <w:t>废水排放量：依据投保单位有效期内的排污许可证</w:t>
      </w:r>
      <w:r w:rsidR="00685953">
        <w:rPr>
          <w:rFonts w:ascii="Times New Roman" w:eastAsia="宋体" w:hAnsi="Times New Roman" w:cs="Times New Roman" w:hint="eastAsia"/>
          <w:sz w:val="24"/>
          <w:szCs w:val="24"/>
        </w:rPr>
        <w:t>核算</w:t>
      </w:r>
      <w:r w:rsidR="00E2212D" w:rsidRPr="00D74E7B">
        <w:rPr>
          <w:rFonts w:ascii="Times New Roman" w:eastAsia="宋体" w:hAnsi="Times New Roman" w:cs="Times New Roman" w:hint="eastAsia"/>
          <w:sz w:val="24"/>
          <w:szCs w:val="24"/>
        </w:rPr>
        <w:t>（未核发排污许可证的，依据投保单位突发环境事件应急预案确定）。</w:t>
      </w:r>
      <w:r w:rsidR="00E2212D" w:rsidRPr="00D74E7B">
        <w:rPr>
          <w:rFonts w:ascii="宋体" w:eastAsia="宋体" w:hAnsi="宋体" w:cs="Times New Roman" w:hint="eastAsia"/>
          <w:sz w:val="24"/>
          <w:szCs w:val="24"/>
        </w:rPr>
        <w:t>③</w:t>
      </w:r>
      <w:proofErr w:type="gramStart"/>
      <w:r w:rsidR="00E2212D" w:rsidRPr="00D74E7B">
        <w:rPr>
          <w:rFonts w:ascii="Times New Roman" w:eastAsia="宋体" w:hAnsi="Times New Roman" w:cs="Times New Roman" w:hint="eastAsia"/>
          <w:sz w:val="24"/>
          <w:szCs w:val="24"/>
        </w:rPr>
        <w:t>涉土风险</w:t>
      </w:r>
      <w:proofErr w:type="gramEnd"/>
      <w:r w:rsidR="00DB4A6B">
        <w:rPr>
          <w:rFonts w:ascii="Times New Roman" w:eastAsia="宋体" w:hAnsi="Times New Roman" w:cs="Times New Roman" w:hint="eastAsia"/>
          <w:sz w:val="24"/>
          <w:szCs w:val="24"/>
        </w:rPr>
        <w:t>物质厂界内最大存在量：</w:t>
      </w:r>
      <w:r w:rsidR="00E2212D" w:rsidRPr="00D74E7B">
        <w:rPr>
          <w:rFonts w:ascii="Times New Roman" w:eastAsia="宋体" w:hAnsi="Times New Roman" w:cs="Times New Roman" w:hint="eastAsia"/>
          <w:sz w:val="24"/>
          <w:szCs w:val="24"/>
        </w:rPr>
        <w:t>依据投保单位突发环境事件应急预案载明的涉及国家、上海市建</w:t>
      </w:r>
      <w:r w:rsidR="00D74E7B" w:rsidRPr="00D74E7B">
        <w:rPr>
          <w:rFonts w:ascii="Times New Roman" w:eastAsia="宋体" w:hAnsi="Times New Roman" w:cs="Times New Roman" w:hint="eastAsia"/>
          <w:sz w:val="24"/>
          <w:szCs w:val="24"/>
        </w:rPr>
        <w:t>设用地土壤污染风险管</w:t>
      </w:r>
      <w:proofErr w:type="gramStart"/>
      <w:r w:rsidR="00D74E7B" w:rsidRPr="00D74E7B">
        <w:rPr>
          <w:rFonts w:ascii="Times New Roman" w:eastAsia="宋体" w:hAnsi="Times New Roman" w:cs="Times New Roman" w:hint="eastAsia"/>
          <w:sz w:val="24"/>
          <w:szCs w:val="24"/>
        </w:rPr>
        <w:t>控标准</w:t>
      </w:r>
      <w:proofErr w:type="gramEnd"/>
      <w:r w:rsidR="00D74E7B" w:rsidRPr="00D74E7B">
        <w:rPr>
          <w:rFonts w:ascii="Times New Roman" w:eastAsia="宋体" w:hAnsi="Times New Roman" w:cs="Times New Roman" w:hint="eastAsia"/>
          <w:sz w:val="24"/>
          <w:szCs w:val="24"/>
        </w:rPr>
        <w:t>所列的污染物的主要原辅材料、燃料、</w:t>
      </w:r>
      <w:r w:rsidR="00E2212D" w:rsidRPr="00D74E7B">
        <w:rPr>
          <w:rFonts w:ascii="Times New Roman" w:eastAsia="宋体" w:hAnsi="Times New Roman" w:cs="Times New Roman" w:hint="eastAsia"/>
          <w:sz w:val="24"/>
          <w:szCs w:val="24"/>
        </w:rPr>
        <w:t>产品等物质的年度最大存在量确定。</w:t>
      </w:r>
      <w:r w:rsidR="00E2212D" w:rsidRPr="00D74E7B">
        <w:rPr>
          <w:rFonts w:ascii="宋体" w:eastAsia="宋体" w:hAnsi="宋体" w:cs="Times New Roman" w:hint="eastAsia"/>
          <w:sz w:val="24"/>
          <w:szCs w:val="24"/>
        </w:rPr>
        <w:t>④投保单位</w:t>
      </w:r>
      <w:r w:rsidR="00E2212D" w:rsidRPr="00D74E7B">
        <w:rPr>
          <w:rFonts w:ascii="Times New Roman" w:eastAsia="宋体" w:hAnsi="Times New Roman" w:cs="Times New Roman" w:hint="eastAsia"/>
          <w:sz w:val="24"/>
          <w:szCs w:val="24"/>
        </w:rPr>
        <w:t>突发环境事件应急预案应符合《企业事业单位突发环境事件应急预案备案管理办法（试行）》、《上海市实施</w:t>
      </w:r>
      <w:r w:rsidR="00E2212D" w:rsidRPr="00D74E7B">
        <w:rPr>
          <w:rFonts w:ascii="Times New Roman" w:eastAsia="宋体" w:hAnsi="Times New Roman" w:cs="Times New Roman"/>
          <w:sz w:val="24"/>
          <w:szCs w:val="24"/>
        </w:rPr>
        <w:t>&lt;</w:t>
      </w:r>
      <w:r w:rsidR="00E2212D" w:rsidRPr="00D74E7B">
        <w:rPr>
          <w:rFonts w:ascii="Times New Roman" w:eastAsia="宋体" w:hAnsi="Times New Roman" w:cs="Times New Roman" w:hint="eastAsia"/>
          <w:sz w:val="24"/>
          <w:szCs w:val="24"/>
        </w:rPr>
        <w:t>企业事业单位突发环境事件应急预案备案管理办法</w:t>
      </w:r>
      <w:r w:rsidR="00E2212D" w:rsidRPr="00D74E7B">
        <w:rPr>
          <w:rFonts w:ascii="Times New Roman" w:eastAsia="宋体" w:hAnsi="Times New Roman" w:cs="Times New Roman"/>
          <w:sz w:val="24"/>
          <w:szCs w:val="24"/>
        </w:rPr>
        <w:t>(</w:t>
      </w:r>
      <w:r w:rsidR="00E2212D" w:rsidRPr="00D74E7B">
        <w:rPr>
          <w:rFonts w:ascii="Times New Roman" w:eastAsia="宋体" w:hAnsi="Times New Roman" w:cs="Times New Roman" w:hint="eastAsia"/>
          <w:sz w:val="24"/>
          <w:szCs w:val="24"/>
        </w:rPr>
        <w:t>试行</w:t>
      </w:r>
      <w:r w:rsidR="00E2212D" w:rsidRPr="00D74E7B">
        <w:rPr>
          <w:rFonts w:ascii="Times New Roman" w:eastAsia="宋体" w:hAnsi="Times New Roman" w:cs="Times New Roman"/>
          <w:sz w:val="24"/>
          <w:szCs w:val="24"/>
        </w:rPr>
        <w:t>)&gt;</w:t>
      </w:r>
      <w:r w:rsidR="00E2212D" w:rsidRPr="00D74E7B">
        <w:rPr>
          <w:rFonts w:ascii="Times New Roman" w:eastAsia="宋体" w:hAnsi="Times New Roman" w:cs="Times New Roman" w:hint="eastAsia"/>
          <w:sz w:val="24"/>
          <w:szCs w:val="24"/>
        </w:rPr>
        <w:t>的若干规定》有关要求。</w:t>
      </w:r>
    </w:p>
    <w:bookmarkEnd w:id="0"/>
    <w:p w:rsidR="00E63B37" w:rsidRPr="00E2212D" w:rsidRDefault="00E63B37" w:rsidP="00E63B37">
      <w:pPr>
        <w:spacing w:line="360" w:lineRule="auto"/>
        <w:ind w:firstLineChars="200" w:firstLine="480"/>
        <w:rPr>
          <w:rFonts w:ascii="Times New Roman" w:eastAsia="宋体" w:hAnsi="Times New Roman" w:cs="Times New Roman"/>
          <w:sz w:val="24"/>
          <w:szCs w:val="24"/>
        </w:rPr>
      </w:pPr>
    </w:p>
    <w:p w:rsidR="00E63B37" w:rsidRPr="00E63B37" w:rsidRDefault="00E63B37" w:rsidP="00E63B37">
      <w:pPr>
        <w:spacing w:line="360" w:lineRule="auto"/>
        <w:jc w:val="center"/>
        <w:rPr>
          <w:rFonts w:ascii="Times New Roman" w:eastAsia="宋体" w:hAnsi="Times New Roman" w:cs="Times New Roman"/>
          <w:b/>
          <w:bCs/>
          <w:sz w:val="24"/>
          <w:szCs w:val="24"/>
        </w:rPr>
      </w:pPr>
      <w:r w:rsidRPr="00E63B37">
        <w:rPr>
          <w:rFonts w:ascii="Times New Roman" w:eastAsia="宋体" w:hAnsi="Times New Roman" w:cs="Times New Roman"/>
          <w:b/>
          <w:bCs/>
          <w:sz w:val="24"/>
          <w:szCs w:val="24"/>
        </w:rPr>
        <w:t>表</w:t>
      </w:r>
      <w:r w:rsidRPr="00E63B37">
        <w:rPr>
          <w:rFonts w:ascii="Times New Roman" w:eastAsia="宋体" w:hAnsi="Times New Roman" w:cs="Times New Roman"/>
          <w:b/>
          <w:bCs/>
          <w:sz w:val="24"/>
          <w:szCs w:val="24"/>
        </w:rPr>
        <w:t xml:space="preserve">4  </w:t>
      </w:r>
      <w:r w:rsidR="00284D6F">
        <w:rPr>
          <w:rFonts w:ascii="Times New Roman" w:eastAsia="宋体" w:hAnsi="Times New Roman" w:cs="Times New Roman" w:hint="eastAsia"/>
          <w:b/>
          <w:bCs/>
          <w:sz w:val="24"/>
          <w:szCs w:val="24"/>
        </w:rPr>
        <w:t>投保单位</w:t>
      </w:r>
      <w:r w:rsidRPr="00E63B37">
        <w:rPr>
          <w:rFonts w:ascii="Times New Roman" w:eastAsia="宋体" w:hAnsi="Times New Roman" w:cs="Times New Roman"/>
          <w:b/>
          <w:bCs/>
          <w:sz w:val="24"/>
          <w:szCs w:val="24"/>
        </w:rPr>
        <w:t>规模调整系数表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368"/>
        <w:gridCol w:w="3284"/>
      </w:tblGrid>
      <w:tr w:rsidR="00E63B37" w:rsidRPr="00E63B37" w:rsidTr="00193344">
        <w:trPr>
          <w:trHeight w:val="390"/>
          <w:jc w:val="center"/>
        </w:trPr>
        <w:tc>
          <w:tcPr>
            <w:tcW w:w="510"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kern w:val="0"/>
                <w:sz w:val="24"/>
                <w:szCs w:val="24"/>
              </w:rPr>
              <w:t>序号</w:t>
            </w:r>
          </w:p>
        </w:tc>
        <w:tc>
          <w:tcPr>
            <w:tcW w:w="2563" w:type="pct"/>
            <w:vAlign w:val="center"/>
            <w:hideMark/>
          </w:tcPr>
          <w:p w:rsidR="00E63B37" w:rsidRPr="00E63B37" w:rsidRDefault="00284D6F" w:rsidP="00193344">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sz w:val="24"/>
                <w:szCs w:val="24"/>
              </w:rPr>
              <w:t>投保单位</w:t>
            </w:r>
            <w:r w:rsidR="00E63B37" w:rsidRPr="00E63B37">
              <w:rPr>
                <w:rFonts w:ascii="Times New Roman" w:eastAsia="宋体" w:hAnsi="Times New Roman" w:cs="Times New Roman"/>
                <w:sz w:val="24"/>
                <w:szCs w:val="24"/>
              </w:rPr>
              <w:t>规模</w:t>
            </w:r>
          </w:p>
        </w:tc>
        <w:tc>
          <w:tcPr>
            <w:tcW w:w="1927" w:type="pct"/>
            <w:vAlign w:val="center"/>
            <w:hideMark/>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kern w:val="0"/>
                <w:sz w:val="24"/>
                <w:szCs w:val="24"/>
              </w:rPr>
              <w:t>调整系数</w:t>
            </w:r>
          </w:p>
        </w:tc>
      </w:tr>
      <w:tr w:rsidR="00E63B37" w:rsidRPr="00E63B37" w:rsidTr="00193344">
        <w:trPr>
          <w:trHeight w:val="390"/>
          <w:jc w:val="center"/>
        </w:trPr>
        <w:tc>
          <w:tcPr>
            <w:tcW w:w="510"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kern w:val="0"/>
                <w:sz w:val="24"/>
                <w:szCs w:val="24"/>
              </w:rPr>
              <w:lastRenderedPageBreak/>
              <w:t>1</w:t>
            </w:r>
          </w:p>
        </w:tc>
        <w:tc>
          <w:tcPr>
            <w:tcW w:w="2563"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hint="eastAsia"/>
                <w:kern w:val="0"/>
                <w:sz w:val="24"/>
                <w:szCs w:val="24"/>
              </w:rPr>
              <w:t>大中</w:t>
            </w:r>
            <w:r w:rsidRPr="00E63B37">
              <w:rPr>
                <w:rFonts w:ascii="Times New Roman" w:eastAsia="宋体" w:hAnsi="Times New Roman" w:cs="Times New Roman"/>
                <w:kern w:val="0"/>
                <w:sz w:val="24"/>
                <w:szCs w:val="24"/>
              </w:rPr>
              <w:t>型</w:t>
            </w:r>
          </w:p>
        </w:tc>
        <w:tc>
          <w:tcPr>
            <w:tcW w:w="1927"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hint="eastAsia"/>
                <w:kern w:val="0"/>
                <w:sz w:val="24"/>
                <w:szCs w:val="24"/>
              </w:rPr>
              <w:t>1</w:t>
            </w:r>
          </w:p>
        </w:tc>
      </w:tr>
      <w:tr w:rsidR="00E63B37" w:rsidRPr="00E63B37" w:rsidTr="00193344">
        <w:trPr>
          <w:trHeight w:val="390"/>
          <w:jc w:val="center"/>
        </w:trPr>
        <w:tc>
          <w:tcPr>
            <w:tcW w:w="510" w:type="pct"/>
            <w:vAlign w:val="center"/>
          </w:tcPr>
          <w:p w:rsidR="00E63B37" w:rsidRPr="00E63B37" w:rsidRDefault="00D85D0B" w:rsidP="00193344">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p>
        </w:tc>
        <w:tc>
          <w:tcPr>
            <w:tcW w:w="2563"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hint="eastAsia"/>
                <w:kern w:val="0"/>
                <w:sz w:val="24"/>
                <w:szCs w:val="24"/>
              </w:rPr>
              <w:t>小微</w:t>
            </w:r>
            <w:r w:rsidRPr="00E63B37">
              <w:rPr>
                <w:rFonts w:ascii="Times New Roman" w:eastAsia="宋体" w:hAnsi="Times New Roman" w:cs="Times New Roman"/>
                <w:kern w:val="0"/>
                <w:sz w:val="24"/>
                <w:szCs w:val="24"/>
              </w:rPr>
              <w:t>型</w:t>
            </w:r>
          </w:p>
        </w:tc>
        <w:tc>
          <w:tcPr>
            <w:tcW w:w="1927" w:type="pct"/>
            <w:vAlign w:val="center"/>
          </w:tcPr>
          <w:p w:rsidR="00E63B37" w:rsidRPr="00E63B37" w:rsidRDefault="00E63B37" w:rsidP="00193344">
            <w:pPr>
              <w:widowControl/>
              <w:jc w:val="center"/>
              <w:rPr>
                <w:rFonts w:ascii="Times New Roman" w:eastAsia="宋体" w:hAnsi="Times New Roman" w:cs="Times New Roman"/>
                <w:kern w:val="0"/>
                <w:sz w:val="24"/>
                <w:szCs w:val="24"/>
              </w:rPr>
            </w:pPr>
            <w:r w:rsidRPr="00E63B37">
              <w:rPr>
                <w:rFonts w:ascii="Times New Roman" w:eastAsia="宋体" w:hAnsi="Times New Roman" w:cs="Times New Roman" w:hint="eastAsia"/>
                <w:kern w:val="0"/>
                <w:sz w:val="24"/>
                <w:szCs w:val="24"/>
              </w:rPr>
              <w:t>0.8</w:t>
            </w:r>
          </w:p>
        </w:tc>
      </w:tr>
    </w:tbl>
    <w:p w:rsidR="00D74E7B" w:rsidRDefault="00D74E7B" w:rsidP="003743FD">
      <w:pPr>
        <w:tabs>
          <w:tab w:val="num" w:pos="720"/>
        </w:tabs>
        <w:spacing w:line="360" w:lineRule="auto"/>
        <w:ind w:firstLineChars="200" w:firstLine="480"/>
        <w:rPr>
          <w:rFonts w:ascii="Times New Roman" w:eastAsia="宋体" w:hAnsi="Times New Roman" w:cs="Times New Roman"/>
          <w:sz w:val="24"/>
          <w:szCs w:val="24"/>
        </w:rPr>
      </w:pPr>
      <w:r w:rsidRPr="00D74E7B">
        <w:rPr>
          <w:rFonts w:ascii="Times New Roman" w:eastAsia="宋体" w:hAnsi="Times New Roman" w:cs="Times New Roman" w:hint="eastAsia"/>
          <w:sz w:val="24"/>
          <w:szCs w:val="24"/>
        </w:rPr>
        <w:t>注：企业规模依据《国家统计局关于印发</w:t>
      </w:r>
      <w:r w:rsidRPr="00D74E7B">
        <w:rPr>
          <w:rFonts w:ascii="Times New Roman" w:eastAsia="宋体" w:hAnsi="Times New Roman" w:cs="Times New Roman" w:hint="eastAsia"/>
          <w:sz w:val="24"/>
          <w:szCs w:val="24"/>
        </w:rPr>
        <w:t>&lt;</w:t>
      </w:r>
      <w:r w:rsidRPr="00D74E7B">
        <w:rPr>
          <w:rFonts w:ascii="Times New Roman" w:eastAsia="宋体" w:hAnsi="Times New Roman" w:cs="Times New Roman" w:hint="eastAsia"/>
          <w:sz w:val="24"/>
          <w:szCs w:val="24"/>
        </w:rPr>
        <w:t>统计上大中小微型企业划分办法（</w:t>
      </w:r>
      <w:r w:rsidRPr="00D74E7B">
        <w:rPr>
          <w:rFonts w:ascii="Times New Roman" w:eastAsia="宋体" w:hAnsi="Times New Roman" w:cs="Times New Roman"/>
          <w:sz w:val="24"/>
          <w:szCs w:val="24"/>
        </w:rPr>
        <w:t>2017</w:t>
      </w:r>
      <w:r w:rsidRPr="00D74E7B">
        <w:rPr>
          <w:rFonts w:ascii="Times New Roman" w:eastAsia="宋体" w:hAnsi="Times New Roman" w:cs="Times New Roman"/>
          <w:sz w:val="24"/>
          <w:szCs w:val="24"/>
        </w:rPr>
        <w:t>）</w:t>
      </w:r>
      <w:r w:rsidRPr="00D74E7B">
        <w:rPr>
          <w:rFonts w:ascii="Times New Roman" w:eastAsia="宋体" w:hAnsi="Times New Roman" w:cs="Times New Roman" w:hint="eastAsia"/>
          <w:sz w:val="24"/>
          <w:szCs w:val="24"/>
        </w:rPr>
        <w:t>&gt;</w:t>
      </w:r>
      <w:r w:rsidRPr="00D74E7B">
        <w:rPr>
          <w:rFonts w:ascii="Times New Roman" w:eastAsia="宋体" w:hAnsi="Times New Roman" w:cs="Times New Roman" w:hint="eastAsia"/>
          <w:sz w:val="24"/>
          <w:szCs w:val="24"/>
        </w:rPr>
        <w:t>的通知》</w:t>
      </w:r>
      <w:r w:rsidRPr="00D74E7B">
        <w:rPr>
          <w:rFonts w:ascii="Times New Roman" w:eastAsia="宋体" w:hAnsi="Times New Roman" w:cs="Times New Roman" w:hint="eastAsia"/>
          <w:sz w:val="24"/>
          <w:szCs w:val="24"/>
        </w:rPr>
        <w:t>(</w:t>
      </w:r>
      <w:r w:rsidRPr="00D74E7B">
        <w:rPr>
          <w:rFonts w:ascii="Times New Roman" w:eastAsia="宋体" w:hAnsi="Times New Roman" w:cs="Times New Roman" w:hint="eastAsia"/>
          <w:sz w:val="24"/>
          <w:szCs w:val="24"/>
        </w:rPr>
        <w:t>国统字〔</w:t>
      </w:r>
      <w:r w:rsidRPr="00D74E7B">
        <w:rPr>
          <w:rFonts w:ascii="Times New Roman" w:eastAsia="宋体" w:hAnsi="Times New Roman" w:cs="Times New Roman" w:hint="eastAsia"/>
          <w:sz w:val="24"/>
          <w:szCs w:val="24"/>
        </w:rPr>
        <w:t>2017</w:t>
      </w:r>
      <w:r w:rsidRPr="00D74E7B">
        <w:rPr>
          <w:rFonts w:ascii="Times New Roman" w:eastAsia="宋体" w:hAnsi="Times New Roman" w:cs="Times New Roman" w:hint="eastAsia"/>
          <w:sz w:val="24"/>
          <w:szCs w:val="24"/>
        </w:rPr>
        <w:t>〕</w:t>
      </w:r>
      <w:r w:rsidRPr="00D74E7B">
        <w:rPr>
          <w:rFonts w:ascii="Times New Roman" w:eastAsia="宋体" w:hAnsi="Times New Roman" w:cs="Times New Roman" w:hint="eastAsia"/>
          <w:sz w:val="24"/>
          <w:szCs w:val="24"/>
        </w:rPr>
        <w:t>213</w:t>
      </w:r>
      <w:r w:rsidRPr="00D74E7B">
        <w:rPr>
          <w:rFonts w:ascii="Times New Roman" w:eastAsia="宋体" w:hAnsi="Times New Roman" w:cs="Times New Roman" w:hint="eastAsia"/>
          <w:sz w:val="24"/>
          <w:szCs w:val="24"/>
        </w:rPr>
        <w:t>号</w:t>
      </w:r>
      <w:r w:rsidRPr="00D74E7B">
        <w:rPr>
          <w:rFonts w:ascii="Times New Roman" w:eastAsia="宋体" w:hAnsi="Times New Roman" w:cs="Times New Roman" w:hint="eastAsia"/>
          <w:sz w:val="24"/>
          <w:szCs w:val="24"/>
        </w:rPr>
        <w:t>)</w:t>
      </w:r>
      <w:r w:rsidRPr="00D74E7B">
        <w:rPr>
          <w:rFonts w:ascii="Times New Roman" w:eastAsia="宋体" w:hAnsi="Times New Roman" w:cs="Times New Roman" w:hint="eastAsia"/>
          <w:sz w:val="24"/>
          <w:szCs w:val="24"/>
        </w:rPr>
        <w:t>确定</w:t>
      </w:r>
      <w:r w:rsidR="003743FD">
        <w:rPr>
          <w:rFonts w:ascii="Times New Roman" w:eastAsia="宋体" w:hAnsi="Times New Roman" w:cs="Times New Roman" w:hint="eastAsia"/>
          <w:sz w:val="24"/>
          <w:szCs w:val="24"/>
        </w:rPr>
        <w:t>。</w:t>
      </w:r>
      <w:r w:rsidR="00610989">
        <w:rPr>
          <w:rFonts w:ascii="Times New Roman" w:eastAsia="宋体" w:hAnsi="Times New Roman" w:cs="Times New Roman" w:hint="eastAsia"/>
          <w:sz w:val="24"/>
          <w:szCs w:val="24"/>
        </w:rPr>
        <w:t>其他单位参照确定。</w:t>
      </w:r>
    </w:p>
    <w:p w:rsidR="0075798D" w:rsidRPr="007264A6" w:rsidRDefault="0075798D" w:rsidP="0075798D">
      <w:pPr>
        <w:tabs>
          <w:tab w:val="num" w:pos="720"/>
        </w:tabs>
        <w:spacing w:line="360" w:lineRule="auto"/>
        <w:ind w:firstLineChars="200" w:firstLine="482"/>
        <w:rPr>
          <w:rFonts w:ascii="Times New Roman" w:eastAsia="宋体" w:hAnsi="Times New Roman" w:cs="Times New Roman"/>
          <w:b/>
          <w:bCs/>
          <w:sz w:val="24"/>
          <w:szCs w:val="24"/>
        </w:rPr>
      </w:pPr>
    </w:p>
    <w:p w:rsidR="0075798D" w:rsidRDefault="0075798D" w:rsidP="0075798D">
      <w:pPr>
        <w:tabs>
          <w:tab w:val="num" w:pos="720"/>
        </w:tabs>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投保单位和</w:t>
      </w:r>
      <w:r w:rsidR="00284D6F">
        <w:rPr>
          <w:rFonts w:ascii="Times New Roman" w:eastAsia="宋体" w:hAnsi="Times New Roman" w:cs="Times New Roman" w:hint="eastAsia"/>
          <w:b/>
          <w:bCs/>
          <w:sz w:val="24"/>
          <w:szCs w:val="24"/>
        </w:rPr>
        <w:t>承保</w:t>
      </w:r>
      <w:r>
        <w:rPr>
          <w:rFonts w:ascii="Times New Roman" w:eastAsia="宋体" w:hAnsi="Times New Roman" w:cs="Times New Roman" w:hint="eastAsia"/>
          <w:b/>
          <w:bCs/>
          <w:sz w:val="24"/>
          <w:szCs w:val="24"/>
        </w:rPr>
        <w:t>机构可选择使用以下计算器</w:t>
      </w:r>
      <w:r w:rsidR="00D575CE">
        <w:rPr>
          <w:rFonts w:ascii="Times New Roman" w:eastAsia="宋体" w:hAnsi="Times New Roman" w:cs="Times New Roman" w:hint="eastAsia"/>
          <w:b/>
          <w:bCs/>
          <w:sz w:val="24"/>
          <w:szCs w:val="24"/>
        </w:rPr>
        <w:t>辅助</w:t>
      </w:r>
      <w:r>
        <w:rPr>
          <w:rFonts w:ascii="Times New Roman" w:eastAsia="宋体" w:hAnsi="Times New Roman" w:cs="Times New Roman" w:hint="eastAsia"/>
          <w:b/>
          <w:bCs/>
          <w:sz w:val="24"/>
          <w:szCs w:val="24"/>
        </w:rPr>
        <w:t>计算最低责任限额：</w:t>
      </w:r>
    </w:p>
    <w:p w:rsidR="0075798D" w:rsidRPr="0075798D" w:rsidRDefault="0075798D" w:rsidP="0075798D">
      <w:pPr>
        <w:tabs>
          <w:tab w:val="num" w:pos="720"/>
        </w:tabs>
        <w:spacing w:line="360" w:lineRule="auto"/>
        <w:ind w:firstLineChars="200" w:firstLine="480"/>
        <w:rPr>
          <w:rFonts w:ascii="Times New Roman" w:eastAsia="宋体" w:hAnsi="Times New Roman" w:cs="Times New Roman"/>
          <w:sz w:val="24"/>
          <w:szCs w:val="24"/>
        </w:rPr>
      </w:pPr>
      <w:r w:rsidRPr="0075798D">
        <w:rPr>
          <w:rFonts w:ascii="Times New Roman" w:eastAsia="宋体" w:hAnsi="Times New Roman" w:cs="Times New Roman"/>
          <w:sz w:val="24"/>
          <w:szCs w:val="24"/>
        </w:rPr>
        <w:t>https://envdmp.com:8012/portal/page/insuranceCalculation</w:t>
      </w:r>
    </w:p>
    <w:sectPr w:rsidR="0075798D" w:rsidRPr="00757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02" w:rsidRDefault="000F0902" w:rsidP="006055B7">
      <w:r>
        <w:separator/>
      </w:r>
    </w:p>
  </w:endnote>
  <w:endnote w:type="continuationSeparator" w:id="0">
    <w:p w:rsidR="000F0902" w:rsidRDefault="000F0902" w:rsidP="0060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02" w:rsidRDefault="000F0902" w:rsidP="006055B7">
      <w:r>
        <w:separator/>
      </w:r>
    </w:p>
  </w:footnote>
  <w:footnote w:type="continuationSeparator" w:id="0">
    <w:p w:rsidR="000F0902" w:rsidRDefault="000F0902" w:rsidP="0060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5F34"/>
    <w:multiLevelType w:val="hybridMultilevel"/>
    <w:tmpl w:val="3E3AA34A"/>
    <w:lvl w:ilvl="0" w:tplc="B72EE1E0">
      <w:start w:val="1"/>
      <w:numFmt w:val="bullet"/>
      <w:lvlText w:val=""/>
      <w:lvlJc w:val="left"/>
      <w:pPr>
        <w:tabs>
          <w:tab w:val="num" w:pos="720"/>
        </w:tabs>
        <w:ind w:left="720" w:hanging="360"/>
      </w:pPr>
      <w:rPr>
        <w:rFonts w:ascii="Wingdings" w:hAnsi="Wingdings" w:hint="default"/>
      </w:rPr>
    </w:lvl>
    <w:lvl w:ilvl="1" w:tplc="FDA2F3A2" w:tentative="1">
      <w:start w:val="1"/>
      <w:numFmt w:val="bullet"/>
      <w:lvlText w:val=""/>
      <w:lvlJc w:val="left"/>
      <w:pPr>
        <w:tabs>
          <w:tab w:val="num" w:pos="1440"/>
        </w:tabs>
        <w:ind w:left="1440" w:hanging="360"/>
      </w:pPr>
      <w:rPr>
        <w:rFonts w:ascii="Wingdings" w:hAnsi="Wingdings" w:hint="default"/>
      </w:rPr>
    </w:lvl>
    <w:lvl w:ilvl="2" w:tplc="3C0880B6" w:tentative="1">
      <w:start w:val="1"/>
      <w:numFmt w:val="bullet"/>
      <w:lvlText w:val=""/>
      <w:lvlJc w:val="left"/>
      <w:pPr>
        <w:tabs>
          <w:tab w:val="num" w:pos="2160"/>
        </w:tabs>
        <w:ind w:left="2160" w:hanging="360"/>
      </w:pPr>
      <w:rPr>
        <w:rFonts w:ascii="Wingdings" w:hAnsi="Wingdings" w:hint="default"/>
      </w:rPr>
    </w:lvl>
    <w:lvl w:ilvl="3" w:tplc="3E5A9730" w:tentative="1">
      <w:start w:val="1"/>
      <w:numFmt w:val="bullet"/>
      <w:lvlText w:val=""/>
      <w:lvlJc w:val="left"/>
      <w:pPr>
        <w:tabs>
          <w:tab w:val="num" w:pos="2880"/>
        </w:tabs>
        <w:ind w:left="2880" w:hanging="360"/>
      </w:pPr>
      <w:rPr>
        <w:rFonts w:ascii="Wingdings" w:hAnsi="Wingdings" w:hint="default"/>
      </w:rPr>
    </w:lvl>
    <w:lvl w:ilvl="4" w:tplc="BA8637F0" w:tentative="1">
      <w:start w:val="1"/>
      <w:numFmt w:val="bullet"/>
      <w:lvlText w:val=""/>
      <w:lvlJc w:val="left"/>
      <w:pPr>
        <w:tabs>
          <w:tab w:val="num" w:pos="3600"/>
        </w:tabs>
        <w:ind w:left="3600" w:hanging="360"/>
      </w:pPr>
      <w:rPr>
        <w:rFonts w:ascii="Wingdings" w:hAnsi="Wingdings" w:hint="default"/>
      </w:rPr>
    </w:lvl>
    <w:lvl w:ilvl="5" w:tplc="7CC2B840" w:tentative="1">
      <w:start w:val="1"/>
      <w:numFmt w:val="bullet"/>
      <w:lvlText w:val=""/>
      <w:lvlJc w:val="left"/>
      <w:pPr>
        <w:tabs>
          <w:tab w:val="num" w:pos="4320"/>
        </w:tabs>
        <w:ind w:left="4320" w:hanging="360"/>
      </w:pPr>
      <w:rPr>
        <w:rFonts w:ascii="Wingdings" w:hAnsi="Wingdings" w:hint="default"/>
      </w:rPr>
    </w:lvl>
    <w:lvl w:ilvl="6" w:tplc="F4B0C66A" w:tentative="1">
      <w:start w:val="1"/>
      <w:numFmt w:val="bullet"/>
      <w:lvlText w:val=""/>
      <w:lvlJc w:val="left"/>
      <w:pPr>
        <w:tabs>
          <w:tab w:val="num" w:pos="5040"/>
        </w:tabs>
        <w:ind w:left="5040" w:hanging="360"/>
      </w:pPr>
      <w:rPr>
        <w:rFonts w:ascii="Wingdings" w:hAnsi="Wingdings" w:hint="default"/>
      </w:rPr>
    </w:lvl>
    <w:lvl w:ilvl="7" w:tplc="47A26BBE" w:tentative="1">
      <w:start w:val="1"/>
      <w:numFmt w:val="bullet"/>
      <w:lvlText w:val=""/>
      <w:lvlJc w:val="left"/>
      <w:pPr>
        <w:tabs>
          <w:tab w:val="num" w:pos="5760"/>
        </w:tabs>
        <w:ind w:left="5760" w:hanging="360"/>
      </w:pPr>
      <w:rPr>
        <w:rFonts w:ascii="Wingdings" w:hAnsi="Wingdings" w:hint="default"/>
      </w:rPr>
    </w:lvl>
    <w:lvl w:ilvl="8" w:tplc="CF3A8C6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6E"/>
    <w:rsid w:val="000063F9"/>
    <w:rsid w:val="00036781"/>
    <w:rsid w:val="00043173"/>
    <w:rsid w:val="000E28A4"/>
    <w:rsid w:val="000F0902"/>
    <w:rsid w:val="00193344"/>
    <w:rsid w:val="001955DA"/>
    <w:rsid w:val="0026670B"/>
    <w:rsid w:val="00284D6F"/>
    <w:rsid w:val="00293762"/>
    <w:rsid w:val="003743FD"/>
    <w:rsid w:val="003A0425"/>
    <w:rsid w:val="0040788B"/>
    <w:rsid w:val="00491441"/>
    <w:rsid w:val="00573E84"/>
    <w:rsid w:val="00576DDA"/>
    <w:rsid w:val="00597B26"/>
    <w:rsid w:val="005B1F15"/>
    <w:rsid w:val="006055B7"/>
    <w:rsid w:val="00610989"/>
    <w:rsid w:val="0068096E"/>
    <w:rsid w:val="00685953"/>
    <w:rsid w:val="00685CFA"/>
    <w:rsid w:val="00725B08"/>
    <w:rsid w:val="007264A6"/>
    <w:rsid w:val="0075798D"/>
    <w:rsid w:val="008B6E1D"/>
    <w:rsid w:val="00941C0E"/>
    <w:rsid w:val="009716C0"/>
    <w:rsid w:val="009C7717"/>
    <w:rsid w:val="009F45FF"/>
    <w:rsid w:val="00C01456"/>
    <w:rsid w:val="00C53963"/>
    <w:rsid w:val="00D575CE"/>
    <w:rsid w:val="00D74E7B"/>
    <w:rsid w:val="00D85D0B"/>
    <w:rsid w:val="00DB4A6B"/>
    <w:rsid w:val="00E162F1"/>
    <w:rsid w:val="00E2212D"/>
    <w:rsid w:val="00E63B37"/>
    <w:rsid w:val="00E948EA"/>
    <w:rsid w:val="00EE663C"/>
    <w:rsid w:val="00FD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96E"/>
    <w:rPr>
      <w:color w:val="0000FF" w:themeColor="hyperlink"/>
      <w:u w:val="single"/>
    </w:rPr>
  </w:style>
  <w:style w:type="table" w:customStyle="1" w:styleId="1">
    <w:name w:val="网格型1"/>
    <w:basedOn w:val="a1"/>
    <w:next w:val="a4"/>
    <w:uiPriority w:val="39"/>
    <w:rsid w:val="00E6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6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2212D"/>
    <w:pPr>
      <w:widowControl/>
      <w:ind w:firstLineChars="200" w:firstLine="420"/>
      <w:jc w:val="left"/>
    </w:pPr>
    <w:rPr>
      <w:rFonts w:ascii="宋体" w:eastAsia="宋体" w:hAnsi="宋体" w:cs="宋体"/>
      <w:kern w:val="0"/>
      <w:sz w:val="24"/>
      <w:szCs w:val="24"/>
    </w:rPr>
  </w:style>
  <w:style w:type="paragraph" w:styleId="a6">
    <w:name w:val="header"/>
    <w:basedOn w:val="a"/>
    <w:link w:val="Char"/>
    <w:uiPriority w:val="99"/>
    <w:unhideWhenUsed/>
    <w:rsid w:val="00605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055B7"/>
    <w:rPr>
      <w:sz w:val="18"/>
      <w:szCs w:val="18"/>
    </w:rPr>
  </w:style>
  <w:style w:type="paragraph" w:styleId="a7">
    <w:name w:val="footer"/>
    <w:basedOn w:val="a"/>
    <w:link w:val="Char0"/>
    <w:uiPriority w:val="99"/>
    <w:unhideWhenUsed/>
    <w:rsid w:val="006055B7"/>
    <w:pPr>
      <w:tabs>
        <w:tab w:val="center" w:pos="4153"/>
        <w:tab w:val="right" w:pos="8306"/>
      </w:tabs>
      <w:snapToGrid w:val="0"/>
      <w:jc w:val="left"/>
    </w:pPr>
    <w:rPr>
      <w:sz w:val="18"/>
      <w:szCs w:val="18"/>
    </w:rPr>
  </w:style>
  <w:style w:type="character" w:customStyle="1" w:styleId="Char0">
    <w:name w:val="页脚 Char"/>
    <w:basedOn w:val="a0"/>
    <w:link w:val="a7"/>
    <w:uiPriority w:val="99"/>
    <w:rsid w:val="006055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96E"/>
    <w:rPr>
      <w:color w:val="0000FF" w:themeColor="hyperlink"/>
      <w:u w:val="single"/>
    </w:rPr>
  </w:style>
  <w:style w:type="table" w:customStyle="1" w:styleId="1">
    <w:name w:val="网格型1"/>
    <w:basedOn w:val="a1"/>
    <w:next w:val="a4"/>
    <w:uiPriority w:val="39"/>
    <w:rsid w:val="00E6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6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2212D"/>
    <w:pPr>
      <w:widowControl/>
      <w:ind w:firstLineChars="200" w:firstLine="420"/>
      <w:jc w:val="left"/>
    </w:pPr>
    <w:rPr>
      <w:rFonts w:ascii="宋体" w:eastAsia="宋体" w:hAnsi="宋体" w:cs="宋体"/>
      <w:kern w:val="0"/>
      <w:sz w:val="24"/>
      <w:szCs w:val="24"/>
    </w:rPr>
  </w:style>
  <w:style w:type="paragraph" w:styleId="a6">
    <w:name w:val="header"/>
    <w:basedOn w:val="a"/>
    <w:link w:val="Char"/>
    <w:uiPriority w:val="99"/>
    <w:unhideWhenUsed/>
    <w:rsid w:val="00605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055B7"/>
    <w:rPr>
      <w:sz w:val="18"/>
      <w:szCs w:val="18"/>
    </w:rPr>
  </w:style>
  <w:style w:type="paragraph" w:styleId="a7">
    <w:name w:val="footer"/>
    <w:basedOn w:val="a"/>
    <w:link w:val="Char0"/>
    <w:uiPriority w:val="99"/>
    <w:unhideWhenUsed/>
    <w:rsid w:val="006055B7"/>
    <w:pPr>
      <w:tabs>
        <w:tab w:val="center" w:pos="4153"/>
        <w:tab w:val="right" w:pos="8306"/>
      </w:tabs>
      <w:snapToGrid w:val="0"/>
      <w:jc w:val="left"/>
    </w:pPr>
    <w:rPr>
      <w:sz w:val="18"/>
      <w:szCs w:val="18"/>
    </w:rPr>
  </w:style>
  <w:style w:type="character" w:customStyle="1" w:styleId="Char0">
    <w:name w:val="页脚 Char"/>
    <w:basedOn w:val="a0"/>
    <w:link w:val="a7"/>
    <w:uiPriority w:val="99"/>
    <w:rsid w:val="006055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12800">
      <w:bodyDiv w:val="1"/>
      <w:marLeft w:val="0"/>
      <w:marRight w:val="0"/>
      <w:marTop w:val="0"/>
      <w:marBottom w:val="0"/>
      <w:divBdr>
        <w:top w:val="none" w:sz="0" w:space="0" w:color="auto"/>
        <w:left w:val="none" w:sz="0" w:space="0" w:color="auto"/>
        <w:bottom w:val="none" w:sz="0" w:space="0" w:color="auto"/>
        <w:right w:val="none" w:sz="0" w:space="0" w:color="auto"/>
      </w:divBdr>
      <w:divsChild>
        <w:div w:id="372728633">
          <w:marLeft w:val="446"/>
          <w:marRight w:val="0"/>
          <w:marTop w:val="0"/>
          <w:marBottom w:val="0"/>
          <w:divBdr>
            <w:top w:val="none" w:sz="0" w:space="0" w:color="auto"/>
            <w:left w:val="none" w:sz="0" w:space="0" w:color="auto"/>
            <w:bottom w:val="none" w:sz="0" w:space="0" w:color="auto"/>
            <w:right w:val="none" w:sz="0" w:space="0" w:color="auto"/>
          </w:divBdr>
        </w:div>
        <w:div w:id="52433810">
          <w:marLeft w:val="446"/>
          <w:marRight w:val="0"/>
          <w:marTop w:val="0"/>
          <w:marBottom w:val="0"/>
          <w:divBdr>
            <w:top w:val="none" w:sz="0" w:space="0" w:color="auto"/>
            <w:left w:val="none" w:sz="0" w:space="0" w:color="auto"/>
            <w:bottom w:val="none" w:sz="0" w:space="0" w:color="auto"/>
            <w:right w:val="none" w:sz="0" w:space="0" w:color="auto"/>
          </w:divBdr>
        </w:div>
        <w:div w:id="1178732163">
          <w:marLeft w:val="446"/>
          <w:marRight w:val="0"/>
          <w:marTop w:val="0"/>
          <w:marBottom w:val="0"/>
          <w:divBdr>
            <w:top w:val="none" w:sz="0" w:space="0" w:color="auto"/>
            <w:left w:val="none" w:sz="0" w:space="0" w:color="auto"/>
            <w:bottom w:val="none" w:sz="0" w:space="0" w:color="auto"/>
            <w:right w:val="none" w:sz="0" w:space="0" w:color="auto"/>
          </w:divBdr>
        </w:div>
      </w:divsChild>
    </w:div>
    <w:div w:id="1734545072">
      <w:bodyDiv w:val="1"/>
      <w:marLeft w:val="0"/>
      <w:marRight w:val="0"/>
      <w:marTop w:val="0"/>
      <w:marBottom w:val="0"/>
      <w:divBdr>
        <w:top w:val="none" w:sz="0" w:space="0" w:color="auto"/>
        <w:left w:val="none" w:sz="0" w:space="0" w:color="auto"/>
        <w:bottom w:val="none" w:sz="0" w:space="0" w:color="auto"/>
        <w:right w:val="none" w:sz="0" w:space="0" w:color="auto"/>
      </w:divBdr>
    </w:div>
    <w:div w:id="19786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王晓峰</dc:creator>
  <cp:lastModifiedBy>王晓峰</cp:lastModifiedBy>
  <cp:revision>27</cp:revision>
  <dcterms:created xsi:type="dcterms:W3CDTF">2024-01-02T07:19:00Z</dcterms:created>
  <dcterms:modified xsi:type="dcterms:W3CDTF">2024-02-18T05:41:00Z</dcterms:modified>
</cp:coreProperties>
</file>